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598317" w14:textId="22B2562B" w:rsidR="00E90E49" w:rsidRPr="00487D1C"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487D1C">
        <w:t>5</w:t>
      </w:r>
      <w:r w:rsidR="00F20F5C">
        <w:t>e</w:t>
      </w:r>
      <w:r w:rsidRPr="00CE0424">
        <w:tab/>
      </w:r>
      <w:r w:rsidRPr="0057513D">
        <w:rPr>
          <w:sz w:val="32"/>
          <w:szCs w:val="32"/>
        </w:rPr>
        <w:t xml:space="preserve">Tdoc </w:t>
      </w:r>
      <w:r w:rsidR="00034AD3" w:rsidRPr="00034AD3">
        <w:rPr>
          <w:sz w:val="32"/>
          <w:szCs w:val="32"/>
        </w:rPr>
        <w:t>R2-2108253</w:t>
      </w:r>
    </w:p>
    <w:p w14:paraId="3B06DE40" w14:textId="5EF34EFA" w:rsidR="00E90E49" w:rsidRPr="00CE0424" w:rsidRDefault="00C268E6" w:rsidP="00311702">
      <w:pPr>
        <w:pStyle w:val="3GPPHeader"/>
      </w:pPr>
      <w:r>
        <w:t xml:space="preserve">Electronic meeting, </w:t>
      </w:r>
      <w:r w:rsidR="002270E9" w:rsidRPr="002270E9">
        <w:t>2021-0</w:t>
      </w:r>
      <w:r w:rsidR="00487D1C">
        <w:t>8</w:t>
      </w:r>
      <w:r w:rsidR="002270E9" w:rsidRPr="002270E9">
        <w:t>-1</w:t>
      </w:r>
      <w:r w:rsidR="00487D1C">
        <w:t>6</w:t>
      </w:r>
      <w:r w:rsidR="002270E9" w:rsidRPr="002270E9">
        <w:t xml:space="preserve"> - 2021-0</w:t>
      </w:r>
      <w:r w:rsidR="00487D1C">
        <w:t>8</w:t>
      </w:r>
      <w:r w:rsidR="002270E9" w:rsidRPr="002270E9">
        <w:t>-27</w:t>
      </w:r>
    </w:p>
    <w:p w14:paraId="11890F60" w14:textId="77777777" w:rsidR="00E90E49" w:rsidRPr="00CE0424" w:rsidRDefault="00E90E49" w:rsidP="00357380">
      <w:pPr>
        <w:pStyle w:val="3GPPHeader"/>
      </w:pPr>
    </w:p>
    <w:p w14:paraId="521F8C59" w14:textId="265C382B" w:rsidR="00E90E49" w:rsidRPr="00CE0424" w:rsidRDefault="00E90E49" w:rsidP="00311702">
      <w:pPr>
        <w:pStyle w:val="3GPPHeader"/>
        <w:rPr>
          <w:sz w:val="22"/>
          <w:szCs w:val="22"/>
        </w:rPr>
      </w:pPr>
      <w:r w:rsidRPr="00F74055">
        <w:rPr>
          <w:sz w:val="22"/>
          <w:szCs w:val="22"/>
        </w:rPr>
        <w:t>Agenda Item:</w:t>
      </w:r>
      <w:r w:rsidRPr="00F74055">
        <w:rPr>
          <w:sz w:val="22"/>
          <w:szCs w:val="22"/>
        </w:rPr>
        <w:tab/>
      </w:r>
      <w:r w:rsidR="00E26617" w:rsidRPr="00F310E2">
        <w:rPr>
          <w:sz w:val="22"/>
          <w:szCs w:val="22"/>
        </w:rPr>
        <w:t xml:space="preserve">8.18 NR R17 </w:t>
      </w:r>
      <w:r w:rsidR="00F74055" w:rsidRPr="00F74055">
        <w:rPr>
          <w:sz w:val="22"/>
          <w:szCs w:val="22"/>
        </w:rPr>
        <w:t>RACH indication and partitioning</w:t>
      </w:r>
    </w:p>
    <w:p w14:paraId="1F580E3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025622B" w14:textId="469C47FB" w:rsidR="00E90E49" w:rsidRPr="00CE0424" w:rsidRDefault="003D3C45" w:rsidP="00311702">
      <w:pPr>
        <w:pStyle w:val="3GPPHeader"/>
        <w:rPr>
          <w:sz w:val="22"/>
          <w:szCs w:val="22"/>
        </w:rPr>
      </w:pPr>
      <w:r>
        <w:rPr>
          <w:sz w:val="22"/>
          <w:szCs w:val="22"/>
        </w:rPr>
        <w:t>Title:</w:t>
      </w:r>
      <w:r w:rsidR="00E90E49" w:rsidRPr="00CE0424">
        <w:rPr>
          <w:sz w:val="22"/>
          <w:szCs w:val="22"/>
        </w:rPr>
        <w:tab/>
      </w:r>
      <w:r w:rsidR="00E812C5">
        <w:rPr>
          <w:sz w:val="22"/>
          <w:szCs w:val="22"/>
        </w:rPr>
        <w:t>RACH partitioning for Rel-17 features</w:t>
      </w:r>
    </w:p>
    <w:p w14:paraId="0533C279" w14:textId="449D8708"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E26617">
        <w:rPr>
          <w:sz w:val="22"/>
          <w:szCs w:val="22"/>
        </w:rPr>
        <w:t>Discussion</w:t>
      </w:r>
      <w:r w:rsidR="00706265">
        <w:rPr>
          <w:sz w:val="22"/>
          <w:szCs w:val="22"/>
        </w:rPr>
        <w:t>, Decision</w:t>
      </w:r>
    </w:p>
    <w:p w14:paraId="2DB84DF0" w14:textId="77777777" w:rsidR="00E90E49" w:rsidRPr="00CE0424" w:rsidRDefault="00E90E49" w:rsidP="00E90E49"/>
    <w:p w14:paraId="1292A996" w14:textId="77777777" w:rsidR="00E90E49" w:rsidRPr="00CE0424" w:rsidRDefault="00230D18" w:rsidP="00CE0424">
      <w:pPr>
        <w:pStyle w:val="Heading1"/>
      </w:pPr>
      <w:r>
        <w:t>1</w:t>
      </w:r>
      <w:r>
        <w:tab/>
      </w:r>
      <w:r w:rsidR="00E90E49" w:rsidRPr="00CE0424">
        <w:t>Introduction</w:t>
      </w:r>
    </w:p>
    <w:p w14:paraId="15357CA0" w14:textId="2B8A6B43" w:rsidR="00E92E82" w:rsidRDefault="00E10E91" w:rsidP="00A42DF1">
      <w:pPr>
        <w:pStyle w:val="BodyText"/>
        <w:spacing w:after="240"/>
      </w:pPr>
      <w:r>
        <w:t xml:space="preserve">RACH partitioning is being considered for several Rel-17 </w:t>
      </w:r>
      <w:r w:rsidR="00E92E82">
        <w:t>features</w:t>
      </w:r>
      <w:r>
        <w:t xml:space="preserve"> to </w:t>
      </w:r>
      <w:r w:rsidR="00E92E82">
        <w:t>enable</w:t>
      </w:r>
      <w:r>
        <w:t xml:space="preserve"> early identification of </w:t>
      </w:r>
      <w:r w:rsidR="00DB2D67">
        <w:t>the</w:t>
      </w:r>
      <w:r>
        <w:t xml:space="preserve"> feature </w:t>
      </w:r>
      <w:r w:rsidR="00E92E82">
        <w:t xml:space="preserve">on the </w:t>
      </w:r>
      <w:r>
        <w:t xml:space="preserve">network </w:t>
      </w:r>
      <w:r w:rsidR="00E92E82">
        <w:t xml:space="preserve">side </w:t>
      </w:r>
      <w:r>
        <w:t xml:space="preserve">(see table below). </w:t>
      </w:r>
      <w:r w:rsidR="00E92E82">
        <w:t xml:space="preserve">In this contribution we discuss some general aspects of RACH partitioning and </w:t>
      </w:r>
      <w:r w:rsidR="0060563B">
        <w:t>describe what a common solution for RACH partitioning for the Rel-17 features might look like.</w:t>
      </w:r>
    </w:p>
    <w:tbl>
      <w:tblPr>
        <w:tblStyle w:val="TableGrid1"/>
        <w:tblW w:w="0" w:type="auto"/>
        <w:jc w:val="center"/>
        <w:tblLook w:val="04A0" w:firstRow="1" w:lastRow="0" w:firstColumn="1" w:lastColumn="0" w:noHBand="0" w:noVBand="1"/>
      </w:tblPr>
      <w:tblGrid>
        <w:gridCol w:w="1413"/>
        <w:gridCol w:w="7603"/>
      </w:tblGrid>
      <w:tr w:rsidR="00E10E91" w:rsidRPr="00E10E91" w14:paraId="438E791E" w14:textId="77777777" w:rsidTr="00A42DF1">
        <w:trPr>
          <w:jc w:val="center"/>
        </w:trPr>
        <w:tc>
          <w:tcPr>
            <w:tcW w:w="1413" w:type="dxa"/>
            <w:shd w:val="clear" w:color="auto" w:fill="D9D9D9" w:themeFill="background1" w:themeFillShade="D9"/>
          </w:tcPr>
          <w:p w14:paraId="12673BA7" w14:textId="77777777" w:rsidR="00E10E91" w:rsidRPr="00CB44D7" w:rsidRDefault="00E10E91" w:rsidP="00E10E91">
            <w:pPr>
              <w:overflowPunct/>
              <w:autoSpaceDE/>
              <w:autoSpaceDN/>
              <w:adjustRightInd/>
              <w:spacing w:after="0"/>
              <w:textAlignment w:val="auto"/>
              <w:rPr>
                <w:rFonts w:ascii="Arial" w:hAnsi="Arial" w:cs="Arial"/>
                <w:b/>
                <w:sz w:val="20"/>
                <w:szCs w:val="20"/>
                <w:lang w:val="sv-SE" w:eastAsia="en-US"/>
              </w:rPr>
            </w:pPr>
            <w:r w:rsidRPr="00A42DF1">
              <w:rPr>
                <w:rFonts w:ascii="Arial" w:hAnsi="Arial" w:cs="Arial"/>
                <w:b/>
                <w:lang w:val="sv-SE" w:eastAsia="en-US"/>
              </w:rPr>
              <w:t>Feature</w:t>
            </w:r>
          </w:p>
        </w:tc>
        <w:tc>
          <w:tcPr>
            <w:tcW w:w="7603" w:type="dxa"/>
            <w:shd w:val="clear" w:color="auto" w:fill="D9D9D9" w:themeFill="background1" w:themeFillShade="D9"/>
          </w:tcPr>
          <w:p w14:paraId="1D6840E6" w14:textId="6A0CCCF5" w:rsidR="00E10E91" w:rsidRPr="00CB44D7" w:rsidRDefault="00E10E91" w:rsidP="00E10E91">
            <w:pPr>
              <w:overflowPunct/>
              <w:autoSpaceDE/>
              <w:autoSpaceDN/>
              <w:adjustRightInd/>
              <w:spacing w:after="0"/>
              <w:textAlignment w:val="auto"/>
              <w:rPr>
                <w:rFonts w:ascii="Arial" w:hAnsi="Arial" w:cs="Arial"/>
                <w:b/>
                <w:sz w:val="20"/>
                <w:szCs w:val="20"/>
                <w:lang w:eastAsia="en-US"/>
              </w:rPr>
            </w:pPr>
            <w:r w:rsidRPr="00A42DF1">
              <w:rPr>
                <w:rFonts w:ascii="Arial" w:hAnsi="Arial" w:cs="Arial"/>
                <w:b/>
                <w:lang w:eastAsia="en-US"/>
              </w:rPr>
              <w:t xml:space="preserve">Reason for </w:t>
            </w:r>
            <w:r w:rsidR="00603AFE" w:rsidRPr="00A42DF1">
              <w:rPr>
                <w:rFonts w:ascii="Arial" w:hAnsi="Arial" w:cs="Arial"/>
                <w:b/>
                <w:lang w:eastAsia="en-US"/>
              </w:rPr>
              <w:t>RACH</w:t>
            </w:r>
            <w:r w:rsidRPr="00A42DF1">
              <w:rPr>
                <w:rFonts w:ascii="Arial" w:hAnsi="Arial" w:cs="Arial"/>
                <w:b/>
                <w:lang w:eastAsia="en-US"/>
              </w:rPr>
              <w:t xml:space="preserve"> indication</w:t>
            </w:r>
          </w:p>
        </w:tc>
      </w:tr>
      <w:tr w:rsidR="00E10E91" w:rsidRPr="00E10E91" w14:paraId="6F3678E0" w14:textId="77777777" w:rsidTr="00A42DF1">
        <w:trPr>
          <w:jc w:val="center"/>
        </w:trPr>
        <w:tc>
          <w:tcPr>
            <w:tcW w:w="1413" w:type="dxa"/>
          </w:tcPr>
          <w:p w14:paraId="4BC94B44" w14:textId="61C99223" w:rsidR="00E10E91" w:rsidRPr="00CB44D7" w:rsidRDefault="00E10E91" w:rsidP="00E10E91">
            <w:pPr>
              <w:overflowPunct/>
              <w:autoSpaceDE/>
              <w:autoSpaceDN/>
              <w:adjustRightInd/>
              <w:spacing w:after="0"/>
              <w:textAlignment w:val="auto"/>
              <w:rPr>
                <w:rFonts w:ascii="Arial" w:hAnsi="Arial" w:cs="Arial"/>
                <w:sz w:val="20"/>
                <w:szCs w:val="20"/>
                <w:lang w:val="sv-SE" w:eastAsia="en-US"/>
              </w:rPr>
            </w:pPr>
            <w:r w:rsidRPr="00A42DF1">
              <w:rPr>
                <w:rFonts w:ascii="Arial" w:hAnsi="Arial" w:cs="Arial"/>
                <w:lang w:val="sv-SE" w:eastAsia="en-US"/>
              </w:rPr>
              <w:t>RedCap</w:t>
            </w:r>
            <w:r w:rsidR="001935C7" w:rsidRPr="00A42DF1">
              <w:rPr>
                <w:rFonts w:ascii="Arial" w:hAnsi="Arial" w:cs="Arial"/>
                <w:lang w:val="sv-SE" w:eastAsia="en-US"/>
              </w:rPr>
              <w:t xml:space="preserve"> </w:t>
            </w:r>
            <w:r w:rsidR="001935C7" w:rsidRPr="00CB44D7">
              <w:rPr>
                <w:rFonts w:ascii="Arial" w:hAnsi="Arial" w:cs="Arial"/>
                <w:lang w:val="sv-SE" w:eastAsia="en-US"/>
              </w:rPr>
              <w:fldChar w:fldCharType="begin"/>
            </w:r>
            <w:r w:rsidR="001935C7" w:rsidRPr="00A42DF1">
              <w:rPr>
                <w:rFonts w:ascii="Arial" w:hAnsi="Arial" w:cs="Arial"/>
                <w:lang w:val="sv-SE" w:eastAsia="en-US"/>
              </w:rPr>
              <w:instrText xml:space="preserve"> REF _Ref70945771 \r \h </w:instrText>
            </w:r>
            <w:r w:rsidR="00A42DF1">
              <w:rPr>
                <w:rFonts w:ascii="Arial" w:hAnsi="Arial" w:cs="Arial"/>
                <w:lang w:val="sv-SE" w:eastAsia="en-US"/>
              </w:rPr>
              <w:instrText xml:space="preserve"> \* MERGEFORMAT </w:instrText>
            </w:r>
            <w:r w:rsidR="001935C7" w:rsidRPr="00CB44D7">
              <w:rPr>
                <w:rFonts w:ascii="Arial" w:hAnsi="Arial" w:cs="Arial"/>
                <w:lang w:val="sv-SE" w:eastAsia="en-US"/>
              </w:rPr>
            </w:r>
            <w:r w:rsidR="001935C7" w:rsidRPr="00CB44D7">
              <w:rPr>
                <w:rFonts w:ascii="Arial" w:hAnsi="Arial" w:cs="Arial"/>
                <w:lang w:val="sv-SE" w:eastAsia="en-US"/>
              </w:rPr>
              <w:fldChar w:fldCharType="separate"/>
            </w:r>
            <w:r w:rsidR="00B100D4">
              <w:rPr>
                <w:rFonts w:ascii="Arial" w:hAnsi="Arial" w:cs="Arial"/>
                <w:lang w:val="sv-SE" w:eastAsia="en-US"/>
              </w:rPr>
              <w:t>[1]</w:t>
            </w:r>
            <w:r w:rsidR="001935C7" w:rsidRPr="00CB44D7">
              <w:rPr>
                <w:rFonts w:ascii="Arial" w:hAnsi="Arial" w:cs="Arial"/>
                <w:lang w:val="sv-SE" w:eastAsia="en-US"/>
              </w:rPr>
              <w:fldChar w:fldCharType="end"/>
            </w:r>
          </w:p>
        </w:tc>
        <w:tc>
          <w:tcPr>
            <w:tcW w:w="7603" w:type="dxa"/>
          </w:tcPr>
          <w:p w14:paraId="0459419B" w14:textId="650A1BE2" w:rsidR="00E10E91" w:rsidRPr="00CB44D7" w:rsidRDefault="00E10E91" w:rsidP="00E10E91">
            <w:pPr>
              <w:overflowPunct/>
              <w:autoSpaceDE/>
              <w:autoSpaceDN/>
              <w:adjustRightInd/>
              <w:spacing w:after="0"/>
              <w:textAlignment w:val="auto"/>
              <w:rPr>
                <w:rFonts w:ascii="Arial" w:hAnsi="Arial" w:cs="Arial"/>
                <w:sz w:val="20"/>
                <w:szCs w:val="20"/>
                <w:lang w:eastAsia="en-US"/>
              </w:rPr>
            </w:pPr>
            <w:r w:rsidRPr="00A42DF1">
              <w:rPr>
                <w:rFonts w:ascii="Arial" w:hAnsi="Arial" w:cs="Arial"/>
                <w:lang w:eastAsia="en-US"/>
              </w:rPr>
              <w:t xml:space="preserve">To indicate reduced capabilities to the network </w:t>
            </w:r>
            <w:r w:rsidR="00A42DF1">
              <w:rPr>
                <w:rFonts w:ascii="Arial" w:hAnsi="Arial" w:cs="Arial"/>
                <w:lang w:eastAsia="en-US"/>
              </w:rPr>
              <w:t xml:space="preserve">in MSG1 so </w:t>
            </w:r>
            <w:r w:rsidRPr="00A42DF1">
              <w:rPr>
                <w:rFonts w:ascii="Arial" w:hAnsi="Arial" w:cs="Arial"/>
                <w:lang w:eastAsia="en-US"/>
              </w:rPr>
              <w:t>that the network can adapt subsequent transmissions</w:t>
            </w:r>
          </w:p>
        </w:tc>
      </w:tr>
      <w:tr w:rsidR="00E10E91" w:rsidRPr="00E10E91" w14:paraId="5A19F8EF" w14:textId="77777777" w:rsidTr="00A42DF1">
        <w:trPr>
          <w:jc w:val="center"/>
        </w:trPr>
        <w:tc>
          <w:tcPr>
            <w:tcW w:w="1413" w:type="dxa"/>
          </w:tcPr>
          <w:p w14:paraId="17C8119A" w14:textId="2607B69F" w:rsidR="00E10E91" w:rsidRPr="00CB44D7" w:rsidRDefault="00E10E91" w:rsidP="00E10E91">
            <w:pPr>
              <w:overflowPunct/>
              <w:autoSpaceDE/>
              <w:autoSpaceDN/>
              <w:adjustRightInd/>
              <w:spacing w:after="0"/>
              <w:textAlignment w:val="auto"/>
              <w:rPr>
                <w:rFonts w:ascii="Arial" w:hAnsi="Arial" w:cs="Arial"/>
                <w:sz w:val="20"/>
                <w:szCs w:val="20"/>
                <w:lang w:val="sv-SE" w:eastAsia="en-US"/>
              </w:rPr>
            </w:pPr>
            <w:r w:rsidRPr="00A42DF1">
              <w:rPr>
                <w:rFonts w:ascii="Arial" w:hAnsi="Arial" w:cs="Arial"/>
                <w:lang w:val="sv-SE" w:eastAsia="en-US"/>
              </w:rPr>
              <w:t>SDT</w:t>
            </w:r>
            <w:r w:rsidR="001935C7" w:rsidRPr="00A42DF1">
              <w:rPr>
                <w:rFonts w:ascii="Arial" w:hAnsi="Arial" w:cs="Arial"/>
                <w:lang w:val="sv-SE" w:eastAsia="en-US"/>
              </w:rPr>
              <w:t xml:space="preserve"> </w:t>
            </w:r>
            <w:r w:rsidR="001935C7" w:rsidRPr="00CB44D7">
              <w:rPr>
                <w:rFonts w:ascii="Arial" w:hAnsi="Arial" w:cs="Arial"/>
                <w:lang w:val="sv-SE" w:eastAsia="en-US"/>
              </w:rPr>
              <w:fldChar w:fldCharType="begin"/>
            </w:r>
            <w:r w:rsidR="001935C7" w:rsidRPr="00A42DF1">
              <w:rPr>
                <w:rFonts w:ascii="Arial" w:hAnsi="Arial" w:cs="Arial"/>
                <w:lang w:val="sv-SE" w:eastAsia="en-US"/>
              </w:rPr>
              <w:instrText xml:space="preserve"> REF _Ref70945783 \r \h </w:instrText>
            </w:r>
            <w:r w:rsidR="00A42DF1">
              <w:rPr>
                <w:rFonts w:ascii="Arial" w:hAnsi="Arial" w:cs="Arial"/>
                <w:lang w:val="sv-SE" w:eastAsia="en-US"/>
              </w:rPr>
              <w:instrText xml:space="preserve"> \* MERGEFORMAT </w:instrText>
            </w:r>
            <w:r w:rsidR="001935C7" w:rsidRPr="00CB44D7">
              <w:rPr>
                <w:rFonts w:ascii="Arial" w:hAnsi="Arial" w:cs="Arial"/>
                <w:lang w:val="sv-SE" w:eastAsia="en-US"/>
              </w:rPr>
            </w:r>
            <w:r w:rsidR="001935C7" w:rsidRPr="00CB44D7">
              <w:rPr>
                <w:rFonts w:ascii="Arial" w:hAnsi="Arial" w:cs="Arial"/>
                <w:lang w:val="sv-SE" w:eastAsia="en-US"/>
              </w:rPr>
              <w:fldChar w:fldCharType="separate"/>
            </w:r>
            <w:r w:rsidR="00B100D4">
              <w:rPr>
                <w:rFonts w:ascii="Arial" w:hAnsi="Arial" w:cs="Arial"/>
                <w:lang w:val="sv-SE" w:eastAsia="en-US"/>
              </w:rPr>
              <w:t>[2]</w:t>
            </w:r>
            <w:r w:rsidR="001935C7" w:rsidRPr="00CB44D7">
              <w:rPr>
                <w:rFonts w:ascii="Arial" w:hAnsi="Arial" w:cs="Arial"/>
                <w:lang w:val="sv-SE" w:eastAsia="en-US"/>
              </w:rPr>
              <w:fldChar w:fldCharType="end"/>
            </w:r>
          </w:p>
        </w:tc>
        <w:tc>
          <w:tcPr>
            <w:tcW w:w="7603" w:type="dxa"/>
          </w:tcPr>
          <w:p w14:paraId="71580DE5" w14:textId="65E258A0" w:rsidR="00E10E91" w:rsidRPr="00CB44D7" w:rsidRDefault="00E10E91" w:rsidP="00E10E91">
            <w:pPr>
              <w:overflowPunct/>
              <w:autoSpaceDE/>
              <w:autoSpaceDN/>
              <w:adjustRightInd/>
              <w:spacing w:after="0"/>
              <w:textAlignment w:val="auto"/>
              <w:rPr>
                <w:rFonts w:ascii="Arial" w:hAnsi="Arial" w:cs="Arial"/>
                <w:sz w:val="20"/>
                <w:szCs w:val="20"/>
                <w:lang w:eastAsia="en-US"/>
              </w:rPr>
            </w:pPr>
            <w:r w:rsidRPr="00A42DF1">
              <w:rPr>
                <w:rFonts w:ascii="Arial" w:hAnsi="Arial" w:cs="Arial"/>
                <w:lang w:eastAsia="en-US"/>
              </w:rPr>
              <w:t xml:space="preserve">To request a larger MSG3 size (or MSGA </w:t>
            </w:r>
            <w:r w:rsidR="0060563B" w:rsidRPr="00A42DF1">
              <w:rPr>
                <w:rFonts w:ascii="Arial" w:hAnsi="Arial" w:cs="Arial"/>
                <w:lang w:eastAsia="en-US"/>
              </w:rPr>
              <w:t xml:space="preserve">size </w:t>
            </w:r>
            <w:r w:rsidRPr="00A42DF1">
              <w:rPr>
                <w:rFonts w:ascii="Arial" w:hAnsi="Arial" w:cs="Arial"/>
                <w:lang w:eastAsia="en-US"/>
              </w:rPr>
              <w:t>in case of 2-step RA)</w:t>
            </w:r>
          </w:p>
        </w:tc>
      </w:tr>
      <w:tr w:rsidR="00E10E91" w:rsidRPr="00E10E91" w14:paraId="1A252C1D" w14:textId="77777777" w:rsidTr="00A42DF1">
        <w:trPr>
          <w:jc w:val="center"/>
        </w:trPr>
        <w:tc>
          <w:tcPr>
            <w:tcW w:w="1413" w:type="dxa"/>
          </w:tcPr>
          <w:p w14:paraId="316FD4A6" w14:textId="3F4EB31A" w:rsidR="00E10E91" w:rsidRPr="00CB44D7" w:rsidRDefault="00E10E91" w:rsidP="00E10E91">
            <w:pPr>
              <w:overflowPunct/>
              <w:autoSpaceDE/>
              <w:autoSpaceDN/>
              <w:adjustRightInd/>
              <w:spacing w:after="0"/>
              <w:textAlignment w:val="auto"/>
              <w:rPr>
                <w:rFonts w:ascii="Arial" w:hAnsi="Arial" w:cs="Arial"/>
                <w:sz w:val="20"/>
                <w:szCs w:val="20"/>
                <w:lang w:val="sv-SE" w:eastAsia="en-US"/>
              </w:rPr>
            </w:pPr>
            <w:r w:rsidRPr="00A42DF1">
              <w:rPr>
                <w:rFonts w:ascii="Arial" w:hAnsi="Arial" w:cs="Arial"/>
                <w:lang w:val="sv-SE" w:eastAsia="en-US"/>
              </w:rPr>
              <w:t>CovEnh</w:t>
            </w:r>
            <w:r w:rsidR="001935C7" w:rsidRPr="00A42DF1">
              <w:rPr>
                <w:rFonts w:ascii="Arial" w:hAnsi="Arial" w:cs="Arial"/>
                <w:lang w:val="sv-SE" w:eastAsia="en-US"/>
              </w:rPr>
              <w:t xml:space="preserve"> </w:t>
            </w:r>
            <w:r w:rsidR="001935C7" w:rsidRPr="00CB44D7">
              <w:rPr>
                <w:rFonts w:ascii="Arial" w:hAnsi="Arial" w:cs="Arial"/>
                <w:lang w:val="sv-SE" w:eastAsia="en-US"/>
              </w:rPr>
              <w:fldChar w:fldCharType="begin"/>
            </w:r>
            <w:r w:rsidR="001935C7" w:rsidRPr="00A42DF1">
              <w:rPr>
                <w:rFonts w:ascii="Arial" w:hAnsi="Arial" w:cs="Arial"/>
                <w:lang w:val="sv-SE" w:eastAsia="en-US"/>
              </w:rPr>
              <w:instrText xml:space="preserve"> REF _Ref70945792 \r \h </w:instrText>
            </w:r>
            <w:r w:rsidR="00A42DF1">
              <w:rPr>
                <w:rFonts w:ascii="Arial" w:hAnsi="Arial" w:cs="Arial"/>
                <w:lang w:val="sv-SE" w:eastAsia="en-US"/>
              </w:rPr>
              <w:instrText xml:space="preserve"> \* MERGEFORMAT </w:instrText>
            </w:r>
            <w:r w:rsidR="001935C7" w:rsidRPr="00CB44D7">
              <w:rPr>
                <w:rFonts w:ascii="Arial" w:hAnsi="Arial" w:cs="Arial"/>
                <w:lang w:val="sv-SE" w:eastAsia="en-US"/>
              </w:rPr>
            </w:r>
            <w:r w:rsidR="001935C7" w:rsidRPr="00CB44D7">
              <w:rPr>
                <w:rFonts w:ascii="Arial" w:hAnsi="Arial" w:cs="Arial"/>
                <w:lang w:val="sv-SE" w:eastAsia="en-US"/>
              </w:rPr>
              <w:fldChar w:fldCharType="separate"/>
            </w:r>
            <w:r w:rsidR="00B100D4">
              <w:rPr>
                <w:rFonts w:ascii="Arial" w:hAnsi="Arial" w:cs="Arial"/>
                <w:lang w:val="sv-SE" w:eastAsia="en-US"/>
              </w:rPr>
              <w:t>[3]</w:t>
            </w:r>
            <w:r w:rsidR="001935C7" w:rsidRPr="00CB44D7">
              <w:rPr>
                <w:rFonts w:ascii="Arial" w:hAnsi="Arial" w:cs="Arial"/>
                <w:lang w:val="sv-SE" w:eastAsia="en-US"/>
              </w:rPr>
              <w:fldChar w:fldCharType="end"/>
            </w:r>
          </w:p>
        </w:tc>
        <w:tc>
          <w:tcPr>
            <w:tcW w:w="7603" w:type="dxa"/>
          </w:tcPr>
          <w:p w14:paraId="2A3DA665" w14:textId="5A393E77" w:rsidR="00E10E91" w:rsidRPr="00CB44D7" w:rsidRDefault="00E10E91" w:rsidP="00E10E91">
            <w:pPr>
              <w:overflowPunct/>
              <w:autoSpaceDE/>
              <w:autoSpaceDN/>
              <w:adjustRightInd/>
              <w:spacing w:after="0"/>
              <w:textAlignment w:val="auto"/>
              <w:rPr>
                <w:rFonts w:ascii="Arial" w:hAnsi="Arial" w:cs="Arial"/>
                <w:sz w:val="20"/>
                <w:szCs w:val="20"/>
                <w:lang w:eastAsia="en-US"/>
              </w:rPr>
            </w:pPr>
            <w:r w:rsidRPr="00A42DF1">
              <w:rPr>
                <w:rFonts w:ascii="Arial" w:hAnsi="Arial" w:cs="Arial"/>
                <w:lang w:eastAsia="en-US"/>
              </w:rPr>
              <w:t xml:space="preserve">To indicate need for coverage enhancement (esp. for </w:t>
            </w:r>
            <w:r w:rsidR="00CE580D">
              <w:rPr>
                <w:rFonts w:ascii="Arial" w:hAnsi="Arial" w:cs="Arial"/>
                <w:lang w:eastAsia="en-US"/>
              </w:rPr>
              <w:t xml:space="preserve">request of </w:t>
            </w:r>
            <w:r w:rsidRPr="00A42DF1">
              <w:rPr>
                <w:rFonts w:ascii="Arial" w:hAnsi="Arial" w:cs="Arial"/>
                <w:lang w:eastAsia="en-US"/>
              </w:rPr>
              <w:t>MSG3</w:t>
            </w:r>
            <w:r w:rsidR="00CE580D">
              <w:rPr>
                <w:rFonts w:ascii="Arial" w:hAnsi="Arial" w:cs="Arial"/>
                <w:lang w:eastAsia="en-US"/>
              </w:rPr>
              <w:t xml:space="preserve"> repetition</w:t>
            </w:r>
            <w:r w:rsidRPr="00A42DF1">
              <w:rPr>
                <w:rFonts w:ascii="Arial" w:hAnsi="Arial" w:cs="Arial"/>
                <w:lang w:eastAsia="en-US"/>
              </w:rPr>
              <w:t>)</w:t>
            </w:r>
          </w:p>
        </w:tc>
      </w:tr>
      <w:tr w:rsidR="00E10E91" w:rsidRPr="00E10E91" w14:paraId="0E32BDF0" w14:textId="77777777" w:rsidTr="00A42DF1">
        <w:trPr>
          <w:jc w:val="center"/>
        </w:trPr>
        <w:tc>
          <w:tcPr>
            <w:tcW w:w="1413" w:type="dxa"/>
          </w:tcPr>
          <w:p w14:paraId="1F1A0996" w14:textId="317A31BD" w:rsidR="00E10E91" w:rsidRPr="00CB44D7" w:rsidRDefault="00E10E91" w:rsidP="00E10E91">
            <w:pPr>
              <w:overflowPunct/>
              <w:autoSpaceDE/>
              <w:autoSpaceDN/>
              <w:adjustRightInd/>
              <w:spacing w:after="0"/>
              <w:textAlignment w:val="auto"/>
              <w:rPr>
                <w:rFonts w:ascii="Arial" w:hAnsi="Arial" w:cs="Arial"/>
                <w:sz w:val="20"/>
                <w:szCs w:val="20"/>
                <w:lang w:val="sv-SE" w:eastAsia="en-US"/>
              </w:rPr>
            </w:pPr>
            <w:r w:rsidRPr="00857C26">
              <w:rPr>
                <w:rFonts w:ascii="Arial" w:hAnsi="Arial" w:cs="Arial"/>
                <w:lang w:val="sv-SE" w:eastAsia="en-US"/>
              </w:rPr>
              <w:t>Slicing</w:t>
            </w:r>
            <w:r w:rsidR="001935C7" w:rsidRPr="00857C26">
              <w:rPr>
                <w:rFonts w:ascii="Arial" w:hAnsi="Arial" w:cs="Arial"/>
                <w:lang w:val="sv-SE" w:eastAsia="en-US"/>
              </w:rPr>
              <w:t xml:space="preserve"> </w:t>
            </w:r>
            <w:r w:rsidR="003F268F" w:rsidRPr="00CB44D7">
              <w:rPr>
                <w:rFonts w:ascii="Arial" w:hAnsi="Arial" w:cs="Arial"/>
                <w:lang w:val="sv-SE" w:eastAsia="en-US"/>
              </w:rPr>
              <w:fldChar w:fldCharType="begin"/>
            </w:r>
            <w:r w:rsidR="003F268F" w:rsidRPr="00857C26">
              <w:rPr>
                <w:rFonts w:ascii="Arial" w:hAnsi="Arial" w:cs="Arial"/>
                <w:lang w:val="sv-SE" w:eastAsia="en-US"/>
              </w:rPr>
              <w:instrText xml:space="preserve"> REF _Ref78900615 \r \h </w:instrText>
            </w:r>
            <w:r w:rsidR="00857C26">
              <w:rPr>
                <w:rFonts w:ascii="Arial" w:hAnsi="Arial" w:cs="Arial"/>
                <w:sz w:val="20"/>
                <w:szCs w:val="20"/>
                <w:lang w:val="sv-SE" w:eastAsia="en-US"/>
              </w:rPr>
              <w:instrText xml:space="preserve"> \* MERGEFORMAT </w:instrText>
            </w:r>
            <w:r w:rsidR="003F268F" w:rsidRPr="00CB44D7">
              <w:rPr>
                <w:rFonts w:ascii="Arial" w:hAnsi="Arial" w:cs="Arial"/>
                <w:lang w:val="sv-SE" w:eastAsia="en-US"/>
              </w:rPr>
            </w:r>
            <w:r w:rsidR="003F268F" w:rsidRPr="00CB44D7">
              <w:rPr>
                <w:rFonts w:ascii="Arial" w:hAnsi="Arial" w:cs="Arial"/>
                <w:lang w:val="sv-SE" w:eastAsia="en-US"/>
              </w:rPr>
              <w:fldChar w:fldCharType="separate"/>
            </w:r>
            <w:r w:rsidR="003F268F" w:rsidRPr="00857C26">
              <w:rPr>
                <w:rFonts w:ascii="Arial" w:hAnsi="Arial" w:cs="Arial"/>
                <w:lang w:val="sv-SE" w:eastAsia="en-US"/>
              </w:rPr>
              <w:t>[4]</w:t>
            </w:r>
            <w:r w:rsidR="003F268F" w:rsidRPr="00CB44D7">
              <w:rPr>
                <w:rFonts w:ascii="Arial" w:hAnsi="Arial" w:cs="Arial"/>
                <w:lang w:val="sv-SE" w:eastAsia="en-US"/>
              </w:rPr>
              <w:fldChar w:fldCharType="end"/>
            </w:r>
          </w:p>
        </w:tc>
        <w:tc>
          <w:tcPr>
            <w:tcW w:w="7603" w:type="dxa"/>
          </w:tcPr>
          <w:p w14:paraId="44EE8A0C" w14:textId="77777777" w:rsidR="00E10E91" w:rsidRPr="00CB44D7" w:rsidRDefault="00E10E91" w:rsidP="00E10E91">
            <w:pPr>
              <w:overflowPunct/>
              <w:autoSpaceDE/>
              <w:autoSpaceDN/>
              <w:adjustRightInd/>
              <w:spacing w:after="0"/>
              <w:textAlignment w:val="auto"/>
              <w:rPr>
                <w:rFonts w:ascii="Arial" w:hAnsi="Arial" w:cs="Arial"/>
                <w:sz w:val="20"/>
                <w:szCs w:val="20"/>
                <w:lang w:eastAsia="en-US"/>
              </w:rPr>
            </w:pPr>
            <w:r w:rsidRPr="00A42DF1">
              <w:rPr>
                <w:rFonts w:ascii="Arial" w:hAnsi="Arial" w:cs="Arial"/>
                <w:lang w:eastAsia="en-US"/>
              </w:rPr>
              <w:t>To indicate high priority slice to the network and to achieve slice isolation also for RACH</w:t>
            </w:r>
          </w:p>
        </w:tc>
      </w:tr>
    </w:tbl>
    <w:p w14:paraId="471F815B" w14:textId="48C2F097" w:rsidR="00B0697A" w:rsidRDefault="00B0697A" w:rsidP="00B0697A">
      <w:pPr>
        <w:pStyle w:val="BodyText"/>
        <w:rPr>
          <w:lang w:val="en-US"/>
        </w:rPr>
      </w:pPr>
    </w:p>
    <w:p w14:paraId="7994A1C6" w14:textId="6171F320" w:rsidR="00B0697A" w:rsidRDefault="00B100D4" w:rsidP="00B0697A">
      <w:pPr>
        <w:pStyle w:val="BodyText"/>
        <w:rPr>
          <w:lang w:val="en-US"/>
        </w:rPr>
      </w:pPr>
      <w:r>
        <w:rPr>
          <w:lang w:val="en-US"/>
        </w:rPr>
        <w:t>The a</w:t>
      </w:r>
      <w:r w:rsidR="00B0697A">
        <w:rPr>
          <w:lang w:val="en-US"/>
        </w:rPr>
        <w:t>greements related to RACH configuration</w:t>
      </w:r>
      <w:r>
        <w:rPr>
          <w:lang w:val="en-US"/>
        </w:rPr>
        <w:t xml:space="preserve"> already made in each impacted WI are the following:</w:t>
      </w:r>
    </w:p>
    <w:p w14:paraId="2B5E35EA" w14:textId="3FF6C2FD" w:rsidR="00B0697A" w:rsidRPr="001B161C" w:rsidRDefault="00B0697A" w:rsidP="00B0697A">
      <w:pPr>
        <w:pStyle w:val="BodyText"/>
        <w:numPr>
          <w:ilvl w:val="0"/>
          <w:numId w:val="32"/>
        </w:numPr>
        <w:rPr>
          <w:rFonts w:cs="Arial"/>
          <w:b/>
          <w:lang w:val="en-US"/>
        </w:rPr>
      </w:pPr>
      <w:r w:rsidRPr="001B161C">
        <w:rPr>
          <w:rFonts w:cs="Arial"/>
          <w:b/>
          <w:lang w:val="en-US"/>
        </w:rPr>
        <w:t>Small Data</w:t>
      </w:r>
      <w:r w:rsidR="00825B39">
        <w:rPr>
          <w:rFonts w:cs="Arial"/>
          <w:b/>
          <w:lang w:val="en-US"/>
        </w:rPr>
        <w:t xml:space="preserve"> </w:t>
      </w:r>
      <w:r w:rsidR="00825B39">
        <w:rPr>
          <w:rFonts w:cs="Arial"/>
          <w:b/>
          <w:lang w:val="en-US"/>
        </w:rPr>
        <w:fldChar w:fldCharType="begin"/>
      </w:r>
      <w:r w:rsidR="00825B39">
        <w:rPr>
          <w:rFonts w:cs="Arial"/>
          <w:b/>
          <w:lang w:val="en-US"/>
        </w:rPr>
        <w:instrText xml:space="preserve"> REF _Ref75161746 \r \h </w:instrText>
      </w:r>
      <w:r w:rsidR="00825B39">
        <w:rPr>
          <w:rFonts w:cs="Arial"/>
          <w:b/>
          <w:lang w:val="en-US"/>
        </w:rPr>
      </w:r>
      <w:r w:rsidR="00825B39">
        <w:rPr>
          <w:rFonts w:cs="Arial"/>
          <w:b/>
          <w:lang w:val="en-US"/>
        </w:rPr>
        <w:fldChar w:fldCharType="separate"/>
      </w:r>
      <w:r w:rsidR="00825B39">
        <w:rPr>
          <w:rFonts w:cs="Arial"/>
          <w:b/>
          <w:lang w:val="en-US"/>
        </w:rPr>
        <w:t>[7]</w:t>
      </w:r>
      <w:r w:rsidR="00825B39">
        <w:rPr>
          <w:rFonts w:cs="Arial"/>
          <w:b/>
          <w:lang w:val="en-US"/>
        </w:rPr>
        <w:fldChar w:fldCharType="end"/>
      </w:r>
    </w:p>
    <w:p w14:paraId="2F04DFE1" w14:textId="77777777" w:rsidR="00B0697A" w:rsidRPr="00677A18" w:rsidRDefault="00B0697A" w:rsidP="00B0697A">
      <w:pPr>
        <w:pStyle w:val="BodyText"/>
        <w:numPr>
          <w:ilvl w:val="1"/>
          <w:numId w:val="32"/>
        </w:numPr>
        <w:rPr>
          <w:rFonts w:cs="Arial"/>
          <w:lang w:val="en-US"/>
        </w:rPr>
      </w:pPr>
      <w:r w:rsidRPr="001B161C">
        <w:rPr>
          <w:rFonts w:cs="Arial"/>
        </w:rPr>
        <w:t xml:space="preserve">As a baseline, the RACH resource i.e. (RO+preamble combination) is different between SDT and non-SDT </w:t>
      </w:r>
    </w:p>
    <w:p w14:paraId="7E65F1EE" w14:textId="77777777" w:rsidR="00B0697A" w:rsidRPr="00677A18" w:rsidRDefault="00B0697A" w:rsidP="00B0697A">
      <w:pPr>
        <w:pStyle w:val="BodyText"/>
        <w:numPr>
          <w:ilvl w:val="2"/>
          <w:numId w:val="32"/>
        </w:numPr>
        <w:rPr>
          <w:rFonts w:cs="Arial"/>
          <w:lang w:val="en-US"/>
        </w:rPr>
      </w:pPr>
      <w:r w:rsidRPr="00677A18">
        <w:rPr>
          <w:rFonts w:cs="Arial"/>
        </w:rPr>
        <w:t>If ROs for SDT and non SDT are different, preamble partitioning between SDT and non SDT is not needed.</w:t>
      </w:r>
    </w:p>
    <w:p w14:paraId="7E97496F" w14:textId="77777777" w:rsidR="00B0697A" w:rsidRPr="001B161C" w:rsidRDefault="00B0697A" w:rsidP="00B0697A">
      <w:pPr>
        <w:pStyle w:val="BodyText"/>
        <w:numPr>
          <w:ilvl w:val="2"/>
          <w:numId w:val="32"/>
        </w:numPr>
        <w:rPr>
          <w:rFonts w:cs="Arial"/>
          <w:lang w:val="en-US"/>
        </w:rPr>
      </w:pPr>
      <w:r w:rsidRPr="001B161C">
        <w:rPr>
          <w:rFonts w:cs="Arial" w:hint="eastAsia"/>
        </w:rPr>
        <w:t>If ROs for SDT and non SDT are same, preamble partitioning is needed</w:t>
      </w:r>
    </w:p>
    <w:p w14:paraId="52A40B63" w14:textId="77777777" w:rsidR="00B0697A" w:rsidRPr="00677A18" w:rsidRDefault="00B0697A" w:rsidP="00B0697A">
      <w:pPr>
        <w:pStyle w:val="BodyText"/>
        <w:numPr>
          <w:ilvl w:val="1"/>
          <w:numId w:val="32"/>
        </w:numPr>
        <w:rPr>
          <w:rFonts w:cs="Arial"/>
        </w:rPr>
      </w:pPr>
      <w:r w:rsidRPr="003B01D9">
        <w:rPr>
          <w:rFonts w:cs="Arial"/>
        </w:rPr>
        <w:t>For RA-SDT, up to two preamble groups (corresponding to two different payload sizes for MSGA/MSG3) may be configured by the network</w:t>
      </w:r>
    </w:p>
    <w:p w14:paraId="578728B7" w14:textId="3B80AE1B" w:rsidR="00B0697A" w:rsidRPr="00677A18" w:rsidRDefault="00B0697A" w:rsidP="00B100D4">
      <w:pPr>
        <w:pStyle w:val="BodyText"/>
        <w:numPr>
          <w:ilvl w:val="1"/>
          <w:numId w:val="32"/>
        </w:numPr>
        <w:rPr>
          <w:rFonts w:cs="Arial"/>
        </w:rPr>
      </w:pPr>
      <w:r w:rsidRPr="003B01D9">
        <w:rPr>
          <w:rFonts w:cs="Arial"/>
        </w:rPr>
        <w:t>RAN2 continues to progress the work based the separate RACH resources for SDT (i.e. explicit mechanisms to support common resources won’t be pursued unless there is sufficient support for this. However, use of common RACH resources will not be precluded if possible via implementation</w:t>
      </w:r>
    </w:p>
    <w:p w14:paraId="1A84B841" w14:textId="796B5EC0" w:rsidR="00B0697A" w:rsidRPr="00677A18" w:rsidRDefault="00B0697A" w:rsidP="00B100D4">
      <w:pPr>
        <w:pStyle w:val="BodyText"/>
        <w:numPr>
          <w:ilvl w:val="1"/>
          <w:numId w:val="32"/>
        </w:numPr>
        <w:rPr>
          <w:rFonts w:cs="Arial"/>
          <w:lang w:val="en-US"/>
        </w:rPr>
      </w:pPr>
      <w:r w:rsidRPr="00677A18">
        <w:rPr>
          <w:rFonts w:cs="Arial"/>
          <w:lang w:val="en-US"/>
        </w:rPr>
        <w:t>CFRA is not supported for SDT</w:t>
      </w:r>
    </w:p>
    <w:p w14:paraId="0E6972BB" w14:textId="7B50AB49" w:rsidR="00B0697A" w:rsidRPr="001B161C" w:rsidRDefault="00B0697A" w:rsidP="00B0697A">
      <w:pPr>
        <w:pStyle w:val="BodyText"/>
        <w:numPr>
          <w:ilvl w:val="0"/>
          <w:numId w:val="32"/>
        </w:numPr>
        <w:rPr>
          <w:rFonts w:cs="Arial"/>
          <w:b/>
          <w:lang w:val="en-US"/>
        </w:rPr>
      </w:pPr>
      <w:r w:rsidRPr="001B161C">
        <w:rPr>
          <w:rFonts w:cs="Arial"/>
          <w:b/>
          <w:lang w:val="en-US"/>
        </w:rPr>
        <w:t>RedCap</w:t>
      </w:r>
    </w:p>
    <w:p w14:paraId="26E59C88" w14:textId="0C705083" w:rsidR="00B0697A" w:rsidRPr="001B161C" w:rsidRDefault="00B0697A" w:rsidP="00CB44D7">
      <w:pPr>
        <w:pStyle w:val="BodyText"/>
        <w:numPr>
          <w:ilvl w:val="1"/>
          <w:numId w:val="32"/>
        </w:numPr>
        <w:rPr>
          <w:rFonts w:cs="Arial"/>
          <w:lang w:val="en-US"/>
        </w:rPr>
      </w:pPr>
      <w:r w:rsidRPr="001B161C">
        <w:rPr>
          <w:rFonts w:cs="Arial"/>
        </w:rPr>
        <w:t>(Working Assumption) For 4-step RACH, support the early indication of RedCap UEs at least in Msg1.</w:t>
      </w:r>
    </w:p>
    <w:p w14:paraId="51C898F9" w14:textId="2937D6E9" w:rsidR="00B0697A" w:rsidRPr="001B161C" w:rsidRDefault="00B0697A" w:rsidP="00CB44D7">
      <w:pPr>
        <w:pStyle w:val="BodyText"/>
        <w:numPr>
          <w:ilvl w:val="2"/>
          <w:numId w:val="32"/>
        </w:numPr>
        <w:rPr>
          <w:rFonts w:cs="Arial"/>
        </w:rPr>
      </w:pPr>
      <w:r w:rsidRPr="001B161C">
        <w:rPr>
          <w:rFonts w:cs="Arial"/>
        </w:rPr>
        <w:t>The early indication in Msg1 can be configured to be enabled/disabled</w:t>
      </w:r>
    </w:p>
    <w:p w14:paraId="51894AAD" w14:textId="7FF88B70" w:rsidR="00B0697A" w:rsidRPr="001B161C" w:rsidRDefault="00B0697A" w:rsidP="00CB44D7">
      <w:pPr>
        <w:pStyle w:val="BodyText"/>
        <w:numPr>
          <w:ilvl w:val="1"/>
          <w:numId w:val="32"/>
        </w:numPr>
        <w:rPr>
          <w:rFonts w:cs="Arial"/>
        </w:rPr>
      </w:pPr>
      <w:r w:rsidRPr="001B161C">
        <w:rPr>
          <w:rFonts w:cs="Arial"/>
        </w:rPr>
        <w:t xml:space="preserve">(Working Assumption) For enabling/supporting that the RACH occasion (RO) associated with the best SSB falls within the RedCap UE bandwidth, support separate initial UL BWP for </w:t>
      </w:r>
      <w:r w:rsidRPr="001B161C">
        <w:rPr>
          <w:rFonts w:cs="Arial"/>
        </w:rPr>
        <w:lastRenderedPageBreak/>
        <w:t>RedCap UEs (which is not expected to exceed the maximum RedCap UE bandwidth), and this separate initial UL BWP for RedCap includes ROs for RedCap UEs.</w:t>
      </w:r>
    </w:p>
    <w:p w14:paraId="5E3C7CB6" w14:textId="1B02B2A8" w:rsidR="00B0697A" w:rsidRPr="001B161C" w:rsidRDefault="00B0697A" w:rsidP="00CB44D7">
      <w:pPr>
        <w:pStyle w:val="BodyText"/>
        <w:numPr>
          <w:ilvl w:val="2"/>
          <w:numId w:val="32"/>
        </w:numPr>
        <w:rPr>
          <w:rFonts w:cs="Arial"/>
        </w:rPr>
      </w:pPr>
      <w:r w:rsidRPr="001B161C">
        <w:rPr>
          <w:rFonts w:cs="Arial"/>
        </w:rPr>
        <w:t>Note: these ROs can be dedicated for RedCap UEs or shared with non-RedCap UEs</w:t>
      </w:r>
    </w:p>
    <w:p w14:paraId="1078FA4E" w14:textId="77777777" w:rsidR="00B0697A" w:rsidRPr="001B161C" w:rsidRDefault="00B0697A" w:rsidP="00CB44D7">
      <w:pPr>
        <w:pStyle w:val="BodyText"/>
        <w:numPr>
          <w:ilvl w:val="1"/>
          <w:numId w:val="32"/>
        </w:numPr>
        <w:rPr>
          <w:rFonts w:cs="Arial"/>
          <w:lang w:eastAsia="ja-JP"/>
        </w:rPr>
      </w:pPr>
      <w:r w:rsidRPr="001B161C">
        <w:rPr>
          <w:rFonts w:cs="Arial"/>
        </w:rPr>
        <w:t>There is no need to support Rx branches specific early identification from RAN2 perceptive (final decision up to RAN1).</w:t>
      </w:r>
    </w:p>
    <w:p w14:paraId="60C7F798" w14:textId="7A4A282C" w:rsidR="00B0697A" w:rsidRPr="00B100D4" w:rsidRDefault="00B0697A" w:rsidP="00CB44D7">
      <w:pPr>
        <w:pStyle w:val="BodyText"/>
        <w:numPr>
          <w:ilvl w:val="1"/>
          <w:numId w:val="32"/>
        </w:numPr>
        <w:rPr>
          <w:rFonts w:cs="Arial"/>
          <w:lang w:eastAsia="ja-JP"/>
        </w:rPr>
      </w:pPr>
      <w:r w:rsidRPr="001B161C">
        <w:rPr>
          <w:rFonts w:cs="Arial"/>
        </w:rPr>
        <w:t>At least for early identification there will be only one RedCap UE (no need to define separate RedCap UE types for FR1 and FR2)</w:t>
      </w:r>
    </w:p>
    <w:p w14:paraId="7B0CDDB6" w14:textId="77777777" w:rsidR="00CB44D7" w:rsidRPr="00CB44D7" w:rsidRDefault="00CB44D7" w:rsidP="00CB44D7">
      <w:pPr>
        <w:pStyle w:val="BodyText"/>
        <w:numPr>
          <w:ilvl w:val="1"/>
          <w:numId w:val="32"/>
        </w:numPr>
        <w:rPr>
          <w:rFonts w:cs="Arial"/>
        </w:rPr>
      </w:pPr>
      <w:r w:rsidRPr="00CB44D7">
        <w:rPr>
          <w:rFonts w:cs="Arial"/>
        </w:rPr>
        <w:t>Support 2-step RACH for RedCap UEs as an optional feature</w:t>
      </w:r>
    </w:p>
    <w:p w14:paraId="37A29551" w14:textId="77777777" w:rsidR="00CB44D7" w:rsidRPr="00CB44D7" w:rsidRDefault="00CB44D7" w:rsidP="00CB44D7">
      <w:pPr>
        <w:pStyle w:val="BodyText"/>
        <w:numPr>
          <w:ilvl w:val="2"/>
          <w:numId w:val="32"/>
        </w:numPr>
        <w:rPr>
          <w:rFonts w:cs="Arial"/>
        </w:rPr>
      </w:pPr>
      <w:r w:rsidRPr="00CB44D7">
        <w:rPr>
          <w:rFonts w:cs="Arial"/>
        </w:rPr>
        <w:t>FFS details of early indication in MsgA, e.g.:</w:t>
      </w:r>
    </w:p>
    <w:p w14:paraId="73470430" w14:textId="77777777" w:rsidR="00CB44D7" w:rsidRPr="00CB44D7" w:rsidRDefault="00CB44D7" w:rsidP="00CB44D7">
      <w:pPr>
        <w:pStyle w:val="BodyText"/>
        <w:numPr>
          <w:ilvl w:val="3"/>
          <w:numId w:val="32"/>
        </w:numPr>
        <w:rPr>
          <w:rFonts w:cs="Arial"/>
        </w:rPr>
      </w:pPr>
      <w:r w:rsidRPr="00CB44D7">
        <w:rPr>
          <w:rFonts w:cs="Arial"/>
        </w:rPr>
        <w:t>Separation of 2-step RACH resources or MsgA preambles</w:t>
      </w:r>
    </w:p>
    <w:p w14:paraId="06789562" w14:textId="77777777" w:rsidR="00CB44D7" w:rsidRPr="00CB44D7" w:rsidRDefault="00CB44D7" w:rsidP="00CB44D7">
      <w:pPr>
        <w:pStyle w:val="BodyText"/>
        <w:numPr>
          <w:ilvl w:val="3"/>
          <w:numId w:val="32"/>
        </w:numPr>
        <w:rPr>
          <w:rFonts w:cs="Arial"/>
        </w:rPr>
      </w:pPr>
      <w:r w:rsidRPr="00CB44D7">
        <w:rPr>
          <w:rFonts w:cs="Arial"/>
        </w:rPr>
        <w:t>Separation of initial UL BWP</w:t>
      </w:r>
    </w:p>
    <w:p w14:paraId="5B079276" w14:textId="77777777" w:rsidR="00CB44D7" w:rsidRPr="00CB44D7" w:rsidRDefault="00CB44D7" w:rsidP="00CB44D7">
      <w:pPr>
        <w:pStyle w:val="BodyText"/>
        <w:numPr>
          <w:ilvl w:val="3"/>
          <w:numId w:val="32"/>
        </w:numPr>
        <w:rPr>
          <w:rFonts w:cs="Arial"/>
        </w:rPr>
      </w:pPr>
      <w:r w:rsidRPr="00CB44D7">
        <w:rPr>
          <w:rFonts w:cs="Arial"/>
        </w:rPr>
        <w:t>Using a new indication in MsgA PUSCH part</w:t>
      </w:r>
    </w:p>
    <w:p w14:paraId="60828FB7" w14:textId="69FD9E68" w:rsidR="00CB44D7" w:rsidRPr="00CB44D7" w:rsidRDefault="00CB44D7" w:rsidP="00CB44D7">
      <w:pPr>
        <w:pStyle w:val="BodyText"/>
        <w:numPr>
          <w:ilvl w:val="2"/>
          <w:numId w:val="32"/>
        </w:numPr>
        <w:rPr>
          <w:rFonts w:cs="Arial"/>
        </w:rPr>
      </w:pPr>
      <w:r w:rsidRPr="00CB44D7">
        <w:rPr>
          <w:rFonts w:cs="Arial"/>
        </w:rPr>
        <w:t>Note: Discussion on 4-step RACH for early indication should be prioritised</w:t>
      </w:r>
    </w:p>
    <w:p w14:paraId="53CCD3CB" w14:textId="3A480B8B" w:rsidR="00AC6714" w:rsidRPr="00677A18" w:rsidRDefault="00B0697A" w:rsidP="00B0697A">
      <w:pPr>
        <w:pStyle w:val="BodyText"/>
        <w:numPr>
          <w:ilvl w:val="0"/>
          <w:numId w:val="32"/>
        </w:numPr>
        <w:rPr>
          <w:rFonts w:cs="Arial"/>
          <w:lang w:val="en-US"/>
        </w:rPr>
      </w:pPr>
      <w:r w:rsidRPr="00B100D4">
        <w:rPr>
          <w:rFonts w:cs="Arial"/>
          <w:b/>
          <w:lang w:val="en-US"/>
        </w:rPr>
        <w:t>Coverage Enhancement</w:t>
      </w:r>
      <w:r w:rsidR="00CD5DAC" w:rsidRPr="001B161C">
        <w:rPr>
          <w:rFonts w:cs="Arial"/>
          <w:lang w:val="en-US"/>
        </w:rPr>
        <w:t xml:space="preserve"> (</w:t>
      </w:r>
      <w:r w:rsidR="008362F2" w:rsidRPr="001B161C">
        <w:rPr>
          <w:rFonts w:cs="Arial"/>
          <w:lang w:val="en-US"/>
        </w:rPr>
        <w:t xml:space="preserve">Agreements from RAN1 </w:t>
      </w:r>
      <w:r w:rsidR="005313E0" w:rsidRPr="001B161C">
        <w:rPr>
          <w:rFonts w:cs="Arial"/>
          <w:lang w:val="en-US"/>
        </w:rPr>
        <w:t xml:space="preserve">focusing only </w:t>
      </w:r>
      <w:r w:rsidR="001B161C">
        <w:rPr>
          <w:rFonts w:cs="Arial"/>
          <w:lang w:val="en-US"/>
        </w:rPr>
        <w:t>agreements impacting RAN2</w:t>
      </w:r>
      <w:r w:rsidR="00CD5DAC" w:rsidRPr="001B161C">
        <w:rPr>
          <w:rFonts w:cs="Arial"/>
          <w:lang w:val="en-US"/>
        </w:rPr>
        <w:t>)</w:t>
      </w:r>
    </w:p>
    <w:p w14:paraId="6FF6D0A4" w14:textId="77777777" w:rsidR="00AC6714" w:rsidRPr="00677A18" w:rsidRDefault="00DF0ADC" w:rsidP="00AC6714">
      <w:pPr>
        <w:pStyle w:val="BodyText"/>
        <w:numPr>
          <w:ilvl w:val="1"/>
          <w:numId w:val="32"/>
        </w:numPr>
        <w:rPr>
          <w:rFonts w:cs="Arial"/>
        </w:rPr>
      </w:pPr>
      <w:r w:rsidRPr="001B161C">
        <w:rPr>
          <w:rFonts w:cs="Arial"/>
        </w:rPr>
        <w:t>Agreement: A UE requests Msg3 PUSCH repetition at least when the RSRP of the downlink pathloss reference is lower than an RSRP threshold.</w:t>
      </w:r>
    </w:p>
    <w:p w14:paraId="2BD3C95D" w14:textId="77777777" w:rsidR="00AC6714" w:rsidRPr="00677A18" w:rsidRDefault="00DF0ADC" w:rsidP="00AC6714">
      <w:pPr>
        <w:pStyle w:val="BodyText"/>
        <w:numPr>
          <w:ilvl w:val="2"/>
          <w:numId w:val="32"/>
        </w:numPr>
        <w:rPr>
          <w:rFonts w:cs="Arial"/>
        </w:rPr>
      </w:pPr>
      <w:r w:rsidRPr="00677A18">
        <w:rPr>
          <w:rFonts w:cs="Arial"/>
        </w:rPr>
        <w:t>FFS the determination of the RSRP threshold.</w:t>
      </w:r>
    </w:p>
    <w:p w14:paraId="66D7D70D" w14:textId="77777777" w:rsidR="00AC6714" w:rsidRPr="001B161C" w:rsidRDefault="009F50EB" w:rsidP="00AC6714">
      <w:pPr>
        <w:pStyle w:val="BodyText"/>
        <w:numPr>
          <w:ilvl w:val="1"/>
          <w:numId w:val="32"/>
        </w:numPr>
        <w:rPr>
          <w:rFonts w:cs="Arial"/>
        </w:rPr>
      </w:pPr>
      <w:r w:rsidRPr="001B161C">
        <w:rPr>
          <w:rFonts w:cs="Arial"/>
        </w:rPr>
        <w:t>Agreement:</w:t>
      </w:r>
      <w:r w:rsidRPr="001B161C">
        <w:rPr>
          <w:rFonts w:cs="Arial"/>
          <w:lang w:val="sv-SE"/>
        </w:rPr>
        <w:t xml:space="preserve"> </w:t>
      </w:r>
      <w:r w:rsidRPr="001B161C">
        <w:rPr>
          <w:rFonts w:cs="Arial"/>
          <w:shd w:val="clear" w:color="auto" w:fill="FFFFFF"/>
        </w:rPr>
        <w:t>For requesting Msg3 PUSCH repetition, support the following:</w:t>
      </w:r>
    </w:p>
    <w:p w14:paraId="394901D8" w14:textId="77777777" w:rsidR="00AC6714" w:rsidRPr="001B161C" w:rsidRDefault="009F50EB" w:rsidP="00AC6714">
      <w:pPr>
        <w:pStyle w:val="BodyText"/>
        <w:numPr>
          <w:ilvl w:val="2"/>
          <w:numId w:val="32"/>
        </w:numPr>
        <w:rPr>
          <w:rFonts w:cs="Arial"/>
        </w:rPr>
      </w:pPr>
      <w:r w:rsidRPr="001B161C">
        <w:rPr>
          <w:rFonts w:cs="Arial"/>
          <w:shd w:val="clear" w:color="auto" w:fill="FFFFFF"/>
        </w:rPr>
        <w:t>Use separate preamble with shared RO configured by the same PRACH configuration index with legacy UEs.</w:t>
      </w:r>
    </w:p>
    <w:p w14:paraId="3276B2FF" w14:textId="77777777" w:rsidR="00AC6714" w:rsidRPr="001B161C" w:rsidRDefault="009F50EB" w:rsidP="00AC6714">
      <w:pPr>
        <w:pStyle w:val="BodyText"/>
        <w:numPr>
          <w:ilvl w:val="3"/>
          <w:numId w:val="32"/>
        </w:numPr>
        <w:rPr>
          <w:rFonts w:cs="Arial"/>
        </w:rPr>
      </w:pPr>
      <w:r w:rsidRPr="001B161C">
        <w:rPr>
          <w:rFonts w:cs="Arial"/>
        </w:rPr>
        <w:t xml:space="preserve">FFS whether to introduce a PRACH mask to indicate a sub-set of ROs associated with a same SSB index within an SSB-RO mapping cycle for requesting Msg3 repetition for a UE. </w:t>
      </w:r>
    </w:p>
    <w:p w14:paraId="1E495CCA" w14:textId="77777777" w:rsidR="000476EC" w:rsidRPr="001B161C" w:rsidRDefault="009F50EB" w:rsidP="000476EC">
      <w:pPr>
        <w:pStyle w:val="BodyText"/>
        <w:numPr>
          <w:ilvl w:val="3"/>
          <w:numId w:val="32"/>
        </w:numPr>
        <w:rPr>
          <w:rFonts w:cs="Arial"/>
        </w:rPr>
      </w:pPr>
      <w:r w:rsidRPr="001B161C">
        <w:rPr>
          <w:rFonts w:cs="Arial"/>
        </w:rPr>
        <w:t>FFS definition of shared RO (e.g., whether the shared RO can be an RO with preamble(s) for 4-step RACH only or with preambles for both 4-step RACH and 2-step RACH).</w:t>
      </w:r>
    </w:p>
    <w:p w14:paraId="4482BC34" w14:textId="77777777" w:rsidR="000476EC" w:rsidRPr="001B161C" w:rsidRDefault="009F50EB" w:rsidP="000476EC">
      <w:pPr>
        <w:pStyle w:val="BodyText"/>
        <w:numPr>
          <w:ilvl w:val="2"/>
          <w:numId w:val="32"/>
        </w:numPr>
        <w:rPr>
          <w:rFonts w:eastAsia="Calibri" w:cs="Arial"/>
        </w:rPr>
      </w:pPr>
      <w:r w:rsidRPr="001B161C">
        <w:rPr>
          <w:rFonts w:cs="Arial"/>
          <w:shd w:val="clear" w:color="auto" w:fill="FFFFFF"/>
        </w:rPr>
        <w:t>FFS whether or not to additionally support one (&amp; only one) more option:</w:t>
      </w:r>
    </w:p>
    <w:p w14:paraId="5E7341F3" w14:textId="77777777" w:rsidR="000476EC" w:rsidRPr="001B161C" w:rsidRDefault="009F50EB" w:rsidP="000476EC">
      <w:pPr>
        <w:pStyle w:val="BodyText"/>
        <w:numPr>
          <w:ilvl w:val="3"/>
          <w:numId w:val="32"/>
        </w:numPr>
        <w:rPr>
          <w:rFonts w:eastAsia="Calibri" w:cs="Arial"/>
        </w:rPr>
      </w:pPr>
      <w:r w:rsidRPr="001B161C">
        <w:rPr>
          <w:rFonts w:cs="Arial"/>
          <w:shd w:val="clear" w:color="auto" w:fill="FFFFFF"/>
        </w:rPr>
        <w:t>E.g., option 2: Use separate RO configured by a separate PRACH configuration index from legacy UEs</w:t>
      </w:r>
    </w:p>
    <w:p w14:paraId="012AD03E" w14:textId="77777777" w:rsidR="002E171D" w:rsidRPr="001B161C" w:rsidRDefault="009F50EB" w:rsidP="002E171D">
      <w:pPr>
        <w:pStyle w:val="BodyText"/>
        <w:numPr>
          <w:ilvl w:val="3"/>
          <w:numId w:val="32"/>
        </w:numPr>
        <w:rPr>
          <w:rFonts w:cs="Arial"/>
        </w:rPr>
      </w:pPr>
      <w:r w:rsidRPr="001B161C">
        <w:rPr>
          <w:rFonts w:cs="Arial"/>
          <w:shd w:val="clear" w:color="auto" w:fill="FFFFFF"/>
        </w:rPr>
        <w:t>E.g., Option 3: Use separate RO, which include</w:t>
      </w:r>
    </w:p>
    <w:p w14:paraId="38262386" w14:textId="77777777" w:rsidR="002E171D" w:rsidRPr="001B161C" w:rsidRDefault="009F50EB" w:rsidP="002E171D">
      <w:pPr>
        <w:pStyle w:val="BodyText"/>
        <w:numPr>
          <w:ilvl w:val="4"/>
          <w:numId w:val="32"/>
        </w:numPr>
        <w:rPr>
          <w:rFonts w:cs="Arial"/>
        </w:rPr>
      </w:pPr>
      <w:r w:rsidRPr="001B161C">
        <w:rPr>
          <w:rFonts w:cs="Arial"/>
        </w:rPr>
        <w:t>the separate RO configured by a separate RACH configuration index from legacy UE, and</w:t>
      </w:r>
    </w:p>
    <w:p w14:paraId="5E47EF2A" w14:textId="5CB03B8B" w:rsidR="00AC6714" w:rsidRPr="00BF227B" w:rsidRDefault="009F50EB" w:rsidP="00F310E2">
      <w:pPr>
        <w:pStyle w:val="BodyText"/>
        <w:numPr>
          <w:ilvl w:val="4"/>
          <w:numId w:val="32"/>
        </w:numPr>
        <w:rPr>
          <w:rFonts w:ascii="Times New Roman" w:hAnsi="Times New Roman"/>
          <w:shd w:val="clear" w:color="auto" w:fill="FFFFFF"/>
        </w:rPr>
      </w:pPr>
      <w:r w:rsidRPr="001B161C">
        <w:rPr>
          <w:rFonts w:cs="Arial"/>
        </w:rPr>
        <w:t>the remaining RO (if any) configured, by the same PRACH configuration index with legacy UEs, that cannot be used by legacy rules for PRACH transmission.</w:t>
      </w:r>
    </w:p>
    <w:p w14:paraId="1DB6618A" w14:textId="709BD152" w:rsidR="00B0697A" w:rsidRPr="001B161C" w:rsidRDefault="00B0697A">
      <w:pPr>
        <w:pStyle w:val="BodyText"/>
        <w:numPr>
          <w:ilvl w:val="0"/>
          <w:numId w:val="32"/>
        </w:numPr>
        <w:rPr>
          <w:rFonts w:cs="Arial"/>
          <w:b/>
          <w:lang w:val="en-US"/>
        </w:rPr>
      </w:pPr>
      <w:r w:rsidRPr="00B100D4">
        <w:rPr>
          <w:b/>
          <w:lang w:val="en-US"/>
        </w:rPr>
        <w:t>Network Slicing</w:t>
      </w:r>
      <w:r w:rsidR="003F268F" w:rsidRPr="00CB44D7">
        <w:rPr>
          <w:b/>
          <w:lang w:val="en-US"/>
        </w:rPr>
        <w:t xml:space="preserve"> </w:t>
      </w:r>
      <w:r w:rsidR="003F268F" w:rsidRPr="00CB44D7">
        <w:rPr>
          <w:b/>
          <w:lang w:val="en-US"/>
        </w:rPr>
        <w:fldChar w:fldCharType="begin"/>
      </w:r>
      <w:r w:rsidR="003F268F" w:rsidRPr="00CB44D7">
        <w:rPr>
          <w:b/>
          <w:lang w:val="en-US"/>
        </w:rPr>
        <w:instrText xml:space="preserve"> REF _Ref78900615 \r \h </w:instrText>
      </w:r>
      <w:r w:rsidR="00695FAB">
        <w:rPr>
          <w:b/>
          <w:bCs/>
          <w:lang w:val="en-US"/>
        </w:rPr>
        <w:instrText xml:space="preserve"> \* MERGEFORMAT </w:instrText>
      </w:r>
      <w:r w:rsidR="003F268F" w:rsidRPr="00CB44D7">
        <w:rPr>
          <w:b/>
          <w:lang w:val="en-US"/>
        </w:rPr>
      </w:r>
      <w:r w:rsidR="003F268F" w:rsidRPr="00CB44D7">
        <w:rPr>
          <w:b/>
          <w:lang w:val="en-US"/>
        </w:rPr>
        <w:fldChar w:fldCharType="separate"/>
      </w:r>
      <w:r w:rsidR="003F268F" w:rsidRPr="00CB44D7">
        <w:rPr>
          <w:b/>
          <w:lang w:val="en-US"/>
        </w:rPr>
        <w:t>[4]</w:t>
      </w:r>
      <w:r w:rsidR="003F268F" w:rsidRPr="00CB44D7">
        <w:rPr>
          <w:b/>
          <w:lang w:val="en-US"/>
        </w:rPr>
        <w:fldChar w:fldCharType="end"/>
      </w:r>
    </w:p>
    <w:p w14:paraId="304AA70B" w14:textId="77777777" w:rsidR="002E7E77" w:rsidRPr="003F268F" w:rsidRDefault="002E7E77" w:rsidP="00B100D4">
      <w:pPr>
        <w:pStyle w:val="BodyText"/>
        <w:numPr>
          <w:ilvl w:val="1"/>
          <w:numId w:val="32"/>
        </w:numPr>
        <w:rPr>
          <w:lang w:val="en-US"/>
        </w:rPr>
      </w:pPr>
      <w:r w:rsidRPr="003F268F">
        <w:rPr>
          <w:lang w:val="en-US"/>
        </w:rPr>
        <w:t>Support slice based RACH configuration, specify mechanisms and signalling including, for Mobile Originating cases [RAN2]</w:t>
      </w:r>
    </w:p>
    <w:p w14:paraId="3AF71435" w14:textId="77777777" w:rsidR="002E7E77" w:rsidRDefault="002E7E77">
      <w:pPr>
        <w:pStyle w:val="BodyText"/>
        <w:numPr>
          <w:ilvl w:val="2"/>
          <w:numId w:val="32"/>
        </w:numPr>
        <w:rPr>
          <w:rFonts w:cs="Arial"/>
          <w:lang w:val="en-US"/>
        </w:rPr>
      </w:pPr>
      <w:r w:rsidRPr="001B161C">
        <w:rPr>
          <w:rFonts w:cs="Arial"/>
          <w:lang w:val="en-US"/>
        </w:rPr>
        <w:t>Configure separated PRACH configuration (e.g., transmission occasions of time-frequency doma</w:t>
      </w:r>
      <w:r w:rsidRPr="00677A18">
        <w:rPr>
          <w:rFonts w:cs="Arial"/>
          <w:lang w:val="en-US"/>
        </w:rPr>
        <w:t>in and preambles) for slice or slice group</w:t>
      </w:r>
    </w:p>
    <w:p w14:paraId="7A65EDEA" w14:textId="5891A385" w:rsidR="00B100D4" w:rsidRPr="00B100D4" w:rsidRDefault="002E7E77" w:rsidP="00B100D4">
      <w:pPr>
        <w:pStyle w:val="BodyText"/>
        <w:numPr>
          <w:ilvl w:val="2"/>
          <w:numId w:val="32"/>
        </w:numPr>
        <w:rPr>
          <w:rFonts w:cs="Arial"/>
          <w:lang w:val="en-US"/>
        </w:rPr>
      </w:pPr>
      <w:r w:rsidRPr="00677A18">
        <w:rPr>
          <w:rFonts w:cs="Arial"/>
          <w:lang w:val="en-US"/>
        </w:rPr>
        <w:t>Determine how this works with existing functionality, which may include how to perform RACH type selection (e.g., 2-step and 4-step), support of RACH fall-back cases, handling of simultaneous configuration with similar functions such as legacy RA prioritization (e.g., MPS and MCS UEs).</w:t>
      </w:r>
      <w:r w:rsidR="004F6CE5">
        <w:rPr>
          <w:rFonts w:cs="Arial"/>
          <w:lang w:val="en-US"/>
        </w:rPr>
        <w:t xml:space="preserve"> </w:t>
      </w:r>
      <w:r w:rsidRPr="00B100D4">
        <w:rPr>
          <w:rFonts w:cs="Arial"/>
          <w:lang w:val="en-US"/>
        </w:rPr>
        <w:t>Configure RACH parameters prioritization (e.g., scalingFactorBI and powerRampingStepHighPriority) for slice or slice group</w:t>
      </w:r>
      <w:r w:rsidR="00B100D4">
        <w:rPr>
          <w:rFonts w:cs="Arial"/>
          <w:lang w:val="en-US"/>
        </w:rPr>
        <w:t xml:space="preserve">. </w:t>
      </w:r>
      <w:r w:rsidRPr="00B100D4">
        <w:rPr>
          <w:rFonts w:cs="Arial"/>
          <w:lang w:val="en-US"/>
        </w:rPr>
        <w:t xml:space="preserve">Determine how this works with existing functionality, which may include how to perform RACH type selection (e.g., 2-step and 4-step), support of RACH fall-back </w:t>
      </w:r>
      <w:r w:rsidRPr="00B100D4">
        <w:rPr>
          <w:rFonts w:cs="Arial"/>
          <w:lang w:val="en-US"/>
        </w:rPr>
        <w:lastRenderedPageBreak/>
        <w:t>cases, handling of simultaneous configuration with similar functions such as legacy RA prioritization (e.g., MPS and MCS UEs).</w:t>
      </w:r>
      <w:r w:rsidR="00B100D4" w:rsidRPr="00B100D4">
        <w:rPr>
          <w:rFonts w:cs="Arial"/>
          <w:lang w:val="en-US"/>
        </w:rPr>
        <w:t xml:space="preserve"> </w:t>
      </w:r>
    </w:p>
    <w:p w14:paraId="698C6685" w14:textId="03370D05" w:rsidR="00E10E91" w:rsidRPr="00E10E91" w:rsidRDefault="00DB2D67" w:rsidP="00A42DF1">
      <w:pPr>
        <w:pStyle w:val="BodyText"/>
        <w:spacing w:before="240"/>
        <w:rPr>
          <w:lang w:val="en-US"/>
        </w:rPr>
      </w:pPr>
      <w:r>
        <w:rPr>
          <w:lang w:val="en-US"/>
        </w:rPr>
        <w:t xml:space="preserve">A note on terminology: in this contribution </w:t>
      </w:r>
      <w:r w:rsidR="00487D1C">
        <w:rPr>
          <w:lang w:val="en-US"/>
        </w:rPr>
        <w:t xml:space="preserve">RACH configuration denotes an independent set of PRACH slots and their periodicity, </w:t>
      </w:r>
      <w:r>
        <w:rPr>
          <w:lang w:val="en-US"/>
        </w:rPr>
        <w:t>RACH resources</w:t>
      </w:r>
      <w:r w:rsidR="00487D1C">
        <w:rPr>
          <w:lang w:val="en-US"/>
        </w:rPr>
        <w:t xml:space="preserve"> or RACH occasions (ROs)</w:t>
      </w:r>
      <w:r>
        <w:rPr>
          <w:lang w:val="en-US"/>
        </w:rPr>
        <w:t xml:space="preserve"> refer to the time/frequency resources</w:t>
      </w:r>
      <w:r w:rsidR="00487D1C">
        <w:rPr>
          <w:lang w:val="en-US"/>
        </w:rPr>
        <w:t xml:space="preserve"> that compose a PRACH slot, each of them containing 64 preambles and associated with an RNTI value. RACH partition denotes a set of contiguous preambles within the same RO.</w:t>
      </w:r>
      <w:r w:rsidR="002B2EB9">
        <w:rPr>
          <w:lang w:val="en-US"/>
        </w:rPr>
        <w:t xml:space="preserve"> Preamble set is used in the broad sense of preambles grouped together according to some meaning, that may be located in the same or different ROs or time-frequency resources. </w:t>
      </w:r>
    </w:p>
    <w:p w14:paraId="235C3CB7" w14:textId="04E2DC07" w:rsidR="004000E8" w:rsidRDefault="00230D18" w:rsidP="00CE0424">
      <w:pPr>
        <w:pStyle w:val="Heading1"/>
      </w:pPr>
      <w:bookmarkStart w:id="0" w:name="_Ref178064866"/>
      <w:r>
        <w:t>2</w:t>
      </w:r>
      <w:r>
        <w:tab/>
      </w:r>
      <w:r w:rsidR="004000E8" w:rsidRPr="00CE0424">
        <w:t>Discussion</w:t>
      </w:r>
      <w:bookmarkEnd w:id="0"/>
    </w:p>
    <w:p w14:paraId="0E1FBCF5" w14:textId="315F6BC7" w:rsidR="00487D1C" w:rsidRPr="008B3EA5" w:rsidRDefault="00487D1C" w:rsidP="00B100D4">
      <w:pPr>
        <w:pStyle w:val="Heading2"/>
      </w:pPr>
      <w:r>
        <w:t>2.1</w:t>
      </w:r>
      <w:r>
        <w:tab/>
        <w:t>RACH Configuration</w:t>
      </w:r>
    </w:p>
    <w:p w14:paraId="5C41B311" w14:textId="71FB3581" w:rsidR="00673AEA" w:rsidRDefault="00673AEA" w:rsidP="00B100D4">
      <w:pPr>
        <w:pStyle w:val="Heading3"/>
      </w:pPr>
      <w:r>
        <w:t>2.1</w:t>
      </w:r>
      <w:r w:rsidR="00487D1C">
        <w:t>.1</w:t>
      </w:r>
      <w:r w:rsidR="00487D1C">
        <w:tab/>
        <w:t>Background</w:t>
      </w:r>
      <w:r>
        <w:t xml:space="preserve"> for Rel-15 4-step RA</w:t>
      </w:r>
    </w:p>
    <w:p w14:paraId="06FAD309" w14:textId="462E308E" w:rsidR="00FB673F" w:rsidRDefault="007F4082" w:rsidP="005B79CB">
      <w:pPr>
        <w:pStyle w:val="BodyText"/>
      </w:pPr>
      <w:r>
        <w:t xml:space="preserve">For 4-step RA, the </w:t>
      </w:r>
      <w:r w:rsidR="00E812C5">
        <w:t xml:space="preserve">RACH resources </w:t>
      </w:r>
      <w:r>
        <w:t>are</w:t>
      </w:r>
      <w:r w:rsidR="00E812C5">
        <w:t xml:space="preserve"> configured in</w:t>
      </w:r>
      <w:r w:rsidR="00673AEA">
        <w:t xml:space="preserve"> the</w:t>
      </w:r>
      <w:r w:rsidR="00E812C5">
        <w:t xml:space="preserve"> </w:t>
      </w:r>
      <w:r w:rsidR="008C5B40" w:rsidRPr="002B6E1C">
        <w:rPr>
          <w:i/>
          <w:iCs/>
        </w:rPr>
        <w:t>RACH</w:t>
      </w:r>
      <w:r w:rsidR="00E812C5" w:rsidRPr="002B6E1C">
        <w:rPr>
          <w:i/>
          <w:iCs/>
        </w:rPr>
        <w:t>-ConfigCommon</w:t>
      </w:r>
      <w:r w:rsidR="00E812C5">
        <w:t xml:space="preserve"> IE</w:t>
      </w:r>
      <w:r w:rsidR="00142160">
        <w:t xml:space="preserve"> in SIB1</w:t>
      </w:r>
      <w:r w:rsidR="00E812C5">
        <w:t xml:space="preserve"> and consist of a number of slots (the RACH slots) that repeats </w:t>
      </w:r>
      <w:r w:rsidR="00A42DF1">
        <w:t>themselves</w:t>
      </w:r>
      <w:r w:rsidR="00E812C5">
        <w:t xml:space="preserve"> every RACH configuration period. Within these RACH slots there may be multiple frequency domain RACH occ</w:t>
      </w:r>
      <w:r w:rsidR="00673AEA">
        <w:t xml:space="preserve">asions which </w:t>
      </w:r>
      <w:r w:rsidR="005B79CB">
        <w:t xml:space="preserve">lie consecutive in the frequency domain and each occupying </w:t>
      </w:r>
      <w:r w:rsidR="00B841FD">
        <w:t xml:space="preserve">a certain number of </w:t>
      </w:r>
      <w:r w:rsidR="005B79CB">
        <w:t>resource blocks</w:t>
      </w:r>
      <w:r w:rsidR="00B841FD">
        <w:t xml:space="preserve"> that depends on the preamble transmission bandwidth.</w:t>
      </w:r>
      <w:r w:rsidR="0060563B">
        <w:t xml:space="preserve"> </w:t>
      </w:r>
      <w:r w:rsidR="00E54A49">
        <w:t>Two types of preamble format are defined: a long format used for larger cells and a short one for smaller cells. For the short preambles it is in some cases possible to have multiple preamble transmissions multiplexed in time within a single RACH slot. In other words, for short preambles there may not only be multiple RACH occasions in the frequency domain but also in the time domain</w:t>
      </w:r>
      <w:r w:rsidR="00A42DF1">
        <w:t xml:space="preserve"> within a RACH slot</w:t>
      </w:r>
      <w:r w:rsidR="00E54A49">
        <w:t>.</w:t>
      </w:r>
      <w:r w:rsidR="00FB673F">
        <w:t xml:space="preserve"> In each such RACH time/frequency occasion there are 64 preambles available for transmission.</w:t>
      </w:r>
    </w:p>
    <w:p w14:paraId="07308E51" w14:textId="77777777" w:rsidR="00B623F5" w:rsidRDefault="00FB673F" w:rsidP="00B623F5">
      <w:pPr>
        <w:pStyle w:val="BodyText"/>
        <w:keepNext/>
        <w:jc w:val="center"/>
      </w:pPr>
      <w:r>
        <w:rPr>
          <w:noProof/>
        </w:rPr>
        <w:drawing>
          <wp:inline distT="0" distB="0" distL="0" distR="0" wp14:anchorId="75D7474A" wp14:editId="2BD612F4">
            <wp:extent cx="4184894" cy="1704975"/>
            <wp:effectExtent l="0" t="0" r="0" b="8255"/>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84894" cy="1704975"/>
                    </a:xfrm>
                    <a:prstGeom prst="rect">
                      <a:avLst/>
                    </a:prstGeom>
                    <a:noFill/>
                  </pic:spPr>
                </pic:pic>
              </a:graphicData>
            </a:graphic>
          </wp:inline>
        </w:drawing>
      </w:r>
    </w:p>
    <w:p w14:paraId="5F6F614A" w14:textId="3812BFA7" w:rsidR="00FB673F" w:rsidRDefault="00B623F5" w:rsidP="00B623F5">
      <w:pPr>
        <w:pStyle w:val="Caption"/>
        <w:jc w:val="center"/>
      </w:pPr>
      <w:r>
        <w:t xml:space="preserve">Figure </w:t>
      </w:r>
      <w:fldSimple w:instr=" SEQ Figure \* ARABIC ">
        <w:r w:rsidR="00B100D4">
          <w:rPr>
            <w:noProof/>
          </w:rPr>
          <w:t>1</w:t>
        </w:r>
      </w:fldSimple>
      <w:r w:rsidR="00FB7BDA">
        <w:rPr>
          <w:noProof/>
        </w:rPr>
        <w:t>:</w:t>
      </w:r>
      <w:r>
        <w:t xml:space="preserve"> RACH resource structure</w:t>
      </w:r>
    </w:p>
    <w:p w14:paraId="1C4AF6C0" w14:textId="444CA388" w:rsidR="00F34B6E" w:rsidRDefault="00F34B6E" w:rsidP="00E812C5">
      <w:pPr>
        <w:pStyle w:val="BodyText"/>
      </w:pPr>
    </w:p>
    <w:p w14:paraId="0D559FE1" w14:textId="7A06CA13" w:rsidR="00625093" w:rsidRDefault="00A0230B" w:rsidP="00E812C5">
      <w:pPr>
        <w:pStyle w:val="BodyText"/>
      </w:pPr>
      <w:r>
        <w:t xml:space="preserve">A key feature of random access in NR is the possibility to establish a suitable beam pair and to apply receiver side analog beam-sweeping for the preamble reception. This is achieved by associating different </w:t>
      </w:r>
      <w:r w:rsidR="002A25A4">
        <w:t>SSBs</w:t>
      </w:r>
      <w:r>
        <w:t xml:space="preserve"> </w:t>
      </w:r>
      <w:r w:rsidR="002A25A4">
        <w:t>with different RACH time/frequency occasion</w:t>
      </w:r>
      <w:r w:rsidR="00FB673F">
        <w:t>s</w:t>
      </w:r>
      <w:r w:rsidR="002A25A4">
        <w:t xml:space="preserve"> and/or different preambles. As different SSBs correspond to different downlink beams, </w:t>
      </w:r>
      <w:r w:rsidR="005750F5">
        <w:t>this enables the</w:t>
      </w:r>
      <w:r w:rsidR="002A25A4">
        <w:t xml:space="preserve"> gNB to determine the downlink beam</w:t>
      </w:r>
      <w:r w:rsidR="006E5555">
        <w:t xml:space="preserve"> selected by the UE</w:t>
      </w:r>
      <w:r w:rsidR="002A25A4">
        <w:t xml:space="preserve"> from the preamble reception. Furthermore, if the SSBs are mapped to different RACH occasion in the time domain, the gNB will also be able to apply analog beam</w:t>
      </w:r>
      <w:r w:rsidR="005623E0">
        <w:t>-</w:t>
      </w:r>
      <w:r w:rsidR="002A25A4">
        <w:t xml:space="preserve">sweeping </w:t>
      </w:r>
      <w:r w:rsidR="005623E0">
        <w:t>for the preamble reception</w:t>
      </w:r>
      <w:r w:rsidR="00CE580D">
        <w:t xml:space="preserve"> on different RACH occasions</w:t>
      </w:r>
      <w:r w:rsidR="005623E0">
        <w:t>.</w:t>
      </w:r>
      <w:r w:rsidR="005B7AC6">
        <w:t xml:space="preserve"> </w:t>
      </w:r>
    </w:p>
    <w:p w14:paraId="75869066" w14:textId="77705A27" w:rsidR="00E54A49" w:rsidRDefault="00F34B6E" w:rsidP="00E812C5">
      <w:pPr>
        <w:pStyle w:val="BodyText"/>
      </w:pPr>
      <w:r>
        <w:t xml:space="preserve">Each SSB is mapped to a number of RACH occasions. This number can be less than one meaning that the RACH occasion is shared by multiple SSBs (in this case separation is done based on preamble </w:t>
      </w:r>
      <w:r w:rsidR="00E94C89">
        <w:t xml:space="preserve">partitioning, see </w:t>
      </w:r>
      <w:r w:rsidR="0060563B">
        <w:t>below</w:t>
      </w:r>
      <w:r>
        <w:t xml:space="preserve">), or it can be larger than one to </w:t>
      </w:r>
      <w:r w:rsidR="0086639B">
        <w:t>e.g.</w:t>
      </w:r>
      <w:r w:rsidR="00EC72AB">
        <w:t>,</w:t>
      </w:r>
      <w:r w:rsidR="0086639B">
        <w:t xml:space="preserve"> enable analog beam-sweeping for the preamble reception</w:t>
      </w:r>
      <w:r>
        <w:t xml:space="preserve">. The mapping of SSBs to RACH occasions is done </w:t>
      </w:r>
      <w:r w:rsidR="005B7AC6">
        <w:t>in the following order:</w:t>
      </w:r>
    </w:p>
    <w:p w14:paraId="60B0C297" w14:textId="77BABD19" w:rsidR="0086639B" w:rsidRDefault="0086639B" w:rsidP="005750F5">
      <w:pPr>
        <w:pStyle w:val="BodyText"/>
        <w:numPr>
          <w:ilvl w:val="0"/>
          <w:numId w:val="28"/>
        </w:numPr>
      </w:pPr>
      <w:r>
        <w:t>First in increasing order of preamble indexes within a single RACH occasion</w:t>
      </w:r>
      <w:r w:rsidR="00BF6997">
        <w:t>;</w:t>
      </w:r>
    </w:p>
    <w:p w14:paraId="5F76EFD4" w14:textId="085AA808" w:rsidR="005B7AC6" w:rsidRDefault="005F1DC7" w:rsidP="005750F5">
      <w:pPr>
        <w:pStyle w:val="BodyText"/>
        <w:numPr>
          <w:ilvl w:val="0"/>
          <w:numId w:val="28"/>
        </w:numPr>
      </w:pPr>
      <w:r>
        <w:t xml:space="preserve">Then </w:t>
      </w:r>
      <w:r w:rsidR="0086639B">
        <w:t xml:space="preserve">in </w:t>
      </w:r>
      <w:r>
        <w:t>the frequency domain for the frequency multiplexed RACH occasions</w:t>
      </w:r>
      <w:r w:rsidR="005B7AC6">
        <w:t>;</w:t>
      </w:r>
    </w:p>
    <w:p w14:paraId="6E1D88E2" w14:textId="4AE46439" w:rsidR="005B7AC6" w:rsidRDefault="005B7AC6" w:rsidP="005750F5">
      <w:pPr>
        <w:pStyle w:val="BodyText"/>
        <w:numPr>
          <w:ilvl w:val="0"/>
          <w:numId w:val="28"/>
        </w:numPr>
      </w:pPr>
      <w:r>
        <w:t>Then in time domain</w:t>
      </w:r>
      <w:r w:rsidR="00625093">
        <w:t xml:space="preserve"> </w:t>
      </w:r>
      <w:r w:rsidR="005F1DC7">
        <w:t xml:space="preserve">for the time multiplexed RACH occasions </w:t>
      </w:r>
      <w:r w:rsidR="00625093">
        <w:t>within a RACH slot</w:t>
      </w:r>
      <w:r>
        <w:t xml:space="preserve"> (</w:t>
      </w:r>
      <w:r w:rsidR="00625093">
        <w:t>assuming short-preamble format is used</w:t>
      </w:r>
      <w:r>
        <w:t>)</w:t>
      </w:r>
      <w:r w:rsidR="00625093">
        <w:t>;</w:t>
      </w:r>
    </w:p>
    <w:p w14:paraId="52702E9F" w14:textId="42004804" w:rsidR="00625093" w:rsidRDefault="00625093" w:rsidP="005750F5">
      <w:pPr>
        <w:pStyle w:val="BodyText"/>
        <w:numPr>
          <w:ilvl w:val="0"/>
          <w:numId w:val="28"/>
        </w:numPr>
      </w:pPr>
      <w:r>
        <w:lastRenderedPageBreak/>
        <w:t xml:space="preserve">Then finally in the </w:t>
      </w:r>
      <w:r w:rsidR="005F1DC7">
        <w:t xml:space="preserve">time </w:t>
      </w:r>
      <w:r>
        <w:t>domain between RACH slots</w:t>
      </w:r>
    </w:p>
    <w:p w14:paraId="5BCFC4F0" w14:textId="01A4E5E5" w:rsidR="003C6583" w:rsidRDefault="004E1548" w:rsidP="009E16DB">
      <w:pPr>
        <w:pStyle w:val="BodyText"/>
      </w:pPr>
      <w:r>
        <w:t>In the contention-based random access procedure, i</w:t>
      </w:r>
      <w:r w:rsidR="00355DD2">
        <w:t xml:space="preserve">f an SSB is mapped to more than </w:t>
      </w:r>
      <w:r w:rsidR="00D10474">
        <w:t xml:space="preserve">one </w:t>
      </w:r>
      <w:r w:rsidR="00355DD2">
        <w:t xml:space="preserve">RACH occasion </w:t>
      </w:r>
      <w:r>
        <w:t xml:space="preserve">in the frequency domain, </w:t>
      </w:r>
      <w:r w:rsidR="00355DD2">
        <w:t xml:space="preserve">the UE will </w:t>
      </w:r>
      <w:r w:rsidR="00CE580D">
        <w:t xml:space="preserve">randomly </w:t>
      </w:r>
      <w:r w:rsidR="00355DD2">
        <w:t xml:space="preserve">select </w:t>
      </w:r>
      <w:r>
        <w:t>one of the frequency domain</w:t>
      </w:r>
      <w:r w:rsidR="00355DD2">
        <w:t xml:space="preserve"> RACH occasion </w:t>
      </w:r>
      <w:r w:rsidR="009E16DB">
        <w:t>for the preamble transmission.</w:t>
      </w:r>
    </w:p>
    <w:p w14:paraId="602F172A" w14:textId="35718F4E" w:rsidR="00FB673F" w:rsidRDefault="00FB673F" w:rsidP="009E16DB">
      <w:pPr>
        <w:pStyle w:val="BodyText"/>
      </w:pPr>
      <w:r>
        <w:t xml:space="preserve">The </w:t>
      </w:r>
      <w:r w:rsidR="004D2D23">
        <w:t>figure</w:t>
      </w:r>
      <w:r>
        <w:t xml:space="preserve"> below shows </w:t>
      </w:r>
      <w:r w:rsidR="004D2D23">
        <w:t xml:space="preserve">an example </w:t>
      </w:r>
      <w:r w:rsidR="00B24169">
        <w:t>(</w:t>
      </w:r>
      <w:r w:rsidR="0060563B">
        <w:t>not necessarily</w:t>
      </w:r>
      <w:r w:rsidR="00B24169">
        <w:t xml:space="preserve"> realistic) </w:t>
      </w:r>
      <w:r w:rsidR="004D2D23">
        <w:t xml:space="preserve">where there are two beams/SSBs in the cell and </w:t>
      </w:r>
      <w:r w:rsidR="00B24169">
        <w:t xml:space="preserve">both SSBs are mapped to the same RACH occasion, i.e. the SSBs are separated using preamble partitioning rather than RACH resource </w:t>
      </w:r>
      <w:r w:rsidR="00831C3C">
        <w:t>partitioning</w:t>
      </w:r>
      <w:r w:rsidR="00B24169">
        <w:t xml:space="preserve"> in this example. </w:t>
      </w:r>
      <w:r w:rsidR="004D2D23">
        <w:t xml:space="preserve"> </w:t>
      </w:r>
      <w:r w:rsidR="00B24169">
        <w:t>There are two RACH slots per RACH period and six RACH occasions per RACH slot.</w:t>
      </w:r>
    </w:p>
    <w:p w14:paraId="0C6C4A95" w14:textId="696CF869" w:rsidR="003C6583" w:rsidRDefault="004D2D23" w:rsidP="00B100D4">
      <w:pPr>
        <w:pStyle w:val="BodyText"/>
      </w:pPr>
      <w:r>
        <w:rPr>
          <w:noProof/>
        </w:rPr>
        <w:drawing>
          <wp:inline distT="0" distB="0" distL="0" distR="0" wp14:anchorId="749D109D" wp14:editId="1343D1D8">
            <wp:extent cx="6071870" cy="162750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71870" cy="1627505"/>
                    </a:xfrm>
                    <a:prstGeom prst="rect">
                      <a:avLst/>
                    </a:prstGeom>
                    <a:noFill/>
                  </pic:spPr>
                </pic:pic>
              </a:graphicData>
            </a:graphic>
          </wp:inline>
        </w:drawing>
      </w:r>
    </w:p>
    <w:p w14:paraId="36922BD5" w14:textId="20887B27" w:rsidR="00B623F5" w:rsidRDefault="00B623F5" w:rsidP="00B623F5">
      <w:pPr>
        <w:pStyle w:val="Caption"/>
        <w:jc w:val="center"/>
      </w:pPr>
      <w:r w:rsidRPr="00B623F5">
        <w:t>Figure</w:t>
      </w:r>
      <w:r>
        <w:t xml:space="preserve"> </w:t>
      </w:r>
      <w:fldSimple w:instr=" SEQ Figure \* ARABIC ">
        <w:r w:rsidR="00B100D4">
          <w:rPr>
            <w:noProof/>
          </w:rPr>
          <w:t>2</w:t>
        </w:r>
      </w:fldSimple>
      <w:r w:rsidR="005750F5">
        <w:rPr>
          <w:noProof/>
        </w:rPr>
        <w:t>:</w:t>
      </w:r>
      <w:r>
        <w:t xml:space="preserve"> </w:t>
      </w:r>
      <w:r w:rsidR="00786385">
        <w:t>Mapping of SSBs to RACH occasions</w:t>
      </w:r>
    </w:p>
    <w:p w14:paraId="545E0928" w14:textId="77777777" w:rsidR="00B623F5" w:rsidRDefault="00B623F5" w:rsidP="00B623F5">
      <w:pPr>
        <w:pStyle w:val="BodyText"/>
      </w:pPr>
    </w:p>
    <w:p w14:paraId="40D2C935" w14:textId="1F933C00" w:rsidR="00010691" w:rsidRDefault="000E7864" w:rsidP="00400F74">
      <w:pPr>
        <w:pStyle w:val="BodyText"/>
        <w:spacing w:after="240"/>
        <w:rPr>
          <w:noProof/>
        </w:rPr>
      </w:pPr>
      <w:r>
        <w:t xml:space="preserve">The 64 preambles within a RACH occasion are </w:t>
      </w:r>
      <w:r w:rsidR="00B623F5">
        <w:t>divided</w:t>
      </w:r>
      <w:r>
        <w:t xml:space="preserve"> </w:t>
      </w:r>
      <w:r w:rsidR="00B623F5">
        <w:t xml:space="preserve">equally </w:t>
      </w:r>
      <w:r>
        <w:t xml:space="preserve">among the SSBs sharing the </w:t>
      </w:r>
      <w:r w:rsidR="00B623F5">
        <w:t>RACH occasion and are then split into a contention</w:t>
      </w:r>
      <w:r w:rsidR="002F2FEE">
        <w:t>-</w:t>
      </w:r>
      <w:r w:rsidR="00B623F5">
        <w:t xml:space="preserve">based and </w:t>
      </w:r>
      <w:r w:rsidR="0060563B">
        <w:t xml:space="preserve">a </w:t>
      </w:r>
      <w:r w:rsidR="00B623F5">
        <w:t>contention</w:t>
      </w:r>
      <w:r w:rsidR="002F2FEE">
        <w:t>-</w:t>
      </w:r>
      <w:r w:rsidR="00B623F5">
        <w:t>free part. The contention</w:t>
      </w:r>
      <w:r w:rsidR="002F2FEE">
        <w:t>-</w:t>
      </w:r>
      <w:r w:rsidR="00B623F5">
        <w:t xml:space="preserve">based preambles associated with an SSB can also be further split into an A and </w:t>
      </w:r>
      <w:r w:rsidR="002F2FEE">
        <w:t xml:space="preserve">a </w:t>
      </w:r>
      <w:r w:rsidR="00B623F5">
        <w:t xml:space="preserve">B group where the group B preambles are used to request a larger MSG3 size in the </w:t>
      </w:r>
      <w:r w:rsidR="000C5F43">
        <w:t>contention-based</w:t>
      </w:r>
      <w:r w:rsidR="00B623F5">
        <w:t xml:space="preserve"> random access procedure. The overall division of the preambles is illustrated in the figure below. Note that it also possible to reserve some of the 64 preambles for other use</w:t>
      </w:r>
      <w:r w:rsidR="002F2FEE">
        <w:t>s</w:t>
      </w:r>
      <w:r w:rsidR="00E819F5">
        <w:t>, e.g.</w:t>
      </w:r>
      <w:r w:rsidR="002F2FEE">
        <w:t>,</w:t>
      </w:r>
      <w:r w:rsidR="00E819F5">
        <w:t xml:space="preserve"> for (</w:t>
      </w:r>
      <w:r w:rsidR="002F2FEE">
        <w:t>MSG1</w:t>
      </w:r>
      <w:r w:rsidR="00E819F5">
        <w:t xml:space="preserve">-based) on-demand SI request. </w:t>
      </w:r>
      <w:r w:rsidR="00B623F5">
        <w:t xml:space="preserve"> </w:t>
      </w:r>
    </w:p>
    <w:p w14:paraId="6D10FBE3" w14:textId="6BDFC74E" w:rsidR="009B4EB5" w:rsidRDefault="00400F74" w:rsidP="00010691">
      <w:pPr>
        <w:pStyle w:val="BodyText"/>
        <w:jc w:val="center"/>
        <w:rPr>
          <w:noProof/>
        </w:rPr>
      </w:pPr>
      <w:r>
        <w:rPr>
          <w:noProof/>
        </w:rPr>
        <w:drawing>
          <wp:inline distT="0" distB="0" distL="0" distR="0" wp14:anchorId="670E6223" wp14:editId="13FB8FEF">
            <wp:extent cx="5644800" cy="2476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44800" cy="2476800"/>
                    </a:xfrm>
                    <a:prstGeom prst="rect">
                      <a:avLst/>
                    </a:prstGeom>
                    <a:noFill/>
                  </pic:spPr>
                </pic:pic>
              </a:graphicData>
            </a:graphic>
          </wp:inline>
        </w:drawing>
      </w:r>
    </w:p>
    <w:p w14:paraId="1839D4E7" w14:textId="1AE98190" w:rsidR="00C971E1" w:rsidRDefault="00C971E1" w:rsidP="00EC72AB">
      <w:pPr>
        <w:pStyle w:val="Caption"/>
        <w:spacing w:after="240"/>
        <w:jc w:val="center"/>
      </w:pPr>
      <w:r w:rsidRPr="00B623F5">
        <w:t>Figure</w:t>
      </w:r>
      <w:r>
        <w:t xml:space="preserve"> </w:t>
      </w:r>
      <w:fldSimple w:instr=" SEQ Figure \* ARABIC ">
        <w:r w:rsidR="00B100D4">
          <w:rPr>
            <w:noProof/>
          </w:rPr>
          <w:t>3</w:t>
        </w:r>
      </w:fldSimple>
      <w:r w:rsidR="00FB7BDA">
        <w:rPr>
          <w:noProof/>
        </w:rPr>
        <w:t>:</w:t>
      </w:r>
      <w:r>
        <w:t xml:space="preserve"> Preamble partitioning</w:t>
      </w:r>
    </w:p>
    <w:p w14:paraId="119E349A" w14:textId="3A21A334" w:rsidR="00ED53B7" w:rsidRDefault="00786385" w:rsidP="00786385">
      <w:pPr>
        <w:pStyle w:val="BodyText"/>
      </w:pPr>
      <w:r>
        <w:t>The contention</w:t>
      </w:r>
      <w:r w:rsidR="002F2FEE">
        <w:t>-</w:t>
      </w:r>
      <w:r>
        <w:t xml:space="preserve">free preambles associated with an SSB </w:t>
      </w:r>
      <w:r w:rsidR="00B64F83">
        <w:t>are used in</w:t>
      </w:r>
      <w:r>
        <w:t xml:space="preserve"> the </w:t>
      </w:r>
      <w:r w:rsidR="000C5F43">
        <w:t>contention-free</w:t>
      </w:r>
      <w:r>
        <w:t xml:space="preserve"> random access procedure used during e.g. handover. Since we are mainly concerned with the </w:t>
      </w:r>
      <w:r w:rsidR="000C5F43">
        <w:t>contention-based</w:t>
      </w:r>
      <w:r>
        <w:t xml:space="preserve"> random access procedure, we will not discuss the details of </w:t>
      </w:r>
      <w:r w:rsidR="00B64F83">
        <w:t xml:space="preserve">the </w:t>
      </w:r>
      <w:r w:rsidR="000C5F43">
        <w:t>contention-free</w:t>
      </w:r>
      <w:r w:rsidR="00B64F83">
        <w:t xml:space="preserve"> random access procedure further</w:t>
      </w:r>
      <w:r>
        <w:t>.</w:t>
      </w:r>
    </w:p>
    <w:p w14:paraId="370C6D88" w14:textId="61CE1BBF" w:rsidR="00984C13" w:rsidRPr="00984C13" w:rsidRDefault="00ED53B7" w:rsidP="00B100D4">
      <w:pPr>
        <w:pStyle w:val="Heading3"/>
      </w:pPr>
      <w:r>
        <w:t>2.</w:t>
      </w:r>
      <w:r w:rsidR="00487D1C">
        <w:t>1.</w:t>
      </w:r>
      <w:r w:rsidR="00EC72AB">
        <w:t>2</w:t>
      </w:r>
      <w:r w:rsidR="00487D1C">
        <w:tab/>
        <w:t>Background</w:t>
      </w:r>
      <w:r>
        <w:t xml:space="preserve"> for Rel-1</w:t>
      </w:r>
      <w:r w:rsidR="00803328">
        <w:t>6</w:t>
      </w:r>
      <w:r>
        <w:t xml:space="preserve"> 2-step RA</w:t>
      </w:r>
    </w:p>
    <w:p w14:paraId="32F68EC8" w14:textId="7D2EE5E0" w:rsidR="00ED53B7" w:rsidRDefault="00803328" w:rsidP="00786385">
      <w:pPr>
        <w:pStyle w:val="BodyText"/>
      </w:pPr>
      <w:r>
        <w:t>2-step RA introduced in Rel-16 use</w:t>
      </w:r>
      <w:r w:rsidR="00B34870">
        <w:t>s</w:t>
      </w:r>
      <w:r>
        <w:t xml:space="preserve"> RACH partitioning to enable the network to distinguish the 2-step RA </w:t>
      </w:r>
      <w:r w:rsidR="00677011">
        <w:t xml:space="preserve">attempts </w:t>
      </w:r>
      <w:r>
        <w:t xml:space="preserve">from the 4-step RA </w:t>
      </w:r>
      <w:r w:rsidR="00677011">
        <w:t xml:space="preserve">attempts </w:t>
      </w:r>
      <w:r>
        <w:t xml:space="preserve">in order to simplify the decoding of MSGA PUSCH. 2-step RA can thus serve as </w:t>
      </w:r>
      <w:r w:rsidR="00BA056E">
        <w:t xml:space="preserve">inspiration when </w:t>
      </w:r>
      <w:r w:rsidR="00910F64">
        <w:t xml:space="preserve">extending </w:t>
      </w:r>
      <w:r w:rsidR="0060563B">
        <w:t xml:space="preserve">the </w:t>
      </w:r>
      <w:r w:rsidR="00BA056E">
        <w:t xml:space="preserve">RACH </w:t>
      </w:r>
      <w:r w:rsidR="0060563B">
        <w:t>partitioning</w:t>
      </w:r>
      <w:r w:rsidR="00BA056E">
        <w:t xml:space="preserve"> for the Rel-17 features.</w:t>
      </w:r>
    </w:p>
    <w:p w14:paraId="184F1293" w14:textId="0429E75E" w:rsidR="004B524E" w:rsidRDefault="00747F95" w:rsidP="00813E56">
      <w:pPr>
        <w:pStyle w:val="BodyText"/>
      </w:pPr>
      <w:r>
        <w:lastRenderedPageBreak/>
        <w:t xml:space="preserve">The RACH resources for </w:t>
      </w:r>
      <w:r w:rsidR="00015806">
        <w:t>2-step RA</w:t>
      </w:r>
      <w:r>
        <w:t xml:space="preserve"> </w:t>
      </w:r>
      <w:r w:rsidR="00015806">
        <w:t xml:space="preserve">are configured in </w:t>
      </w:r>
      <w:r w:rsidR="00813E56">
        <w:t xml:space="preserve">the </w:t>
      </w:r>
      <w:r w:rsidR="00015806" w:rsidRPr="002B6E1C">
        <w:rPr>
          <w:i/>
          <w:iCs/>
        </w:rPr>
        <w:t>RACH-ConfigCommonTwoStepRA</w:t>
      </w:r>
      <w:r w:rsidR="00015806">
        <w:t xml:space="preserve"> IE in SIB1 </w:t>
      </w:r>
      <w:r w:rsidR="00813E56">
        <w:t>and can either be separate from 4-step RA or they can be shared with 4-step RA</w:t>
      </w:r>
      <w:r w:rsidR="00F42A13">
        <w:t xml:space="preserve">. </w:t>
      </w:r>
      <w:r w:rsidR="004B524E">
        <w:t xml:space="preserve">In the separate case the 2-step RA users can be distinguished based on the RACH resource while in the shared case this is not possible and preamble partitioning must be used instead. The preamble partitioning is done by </w:t>
      </w:r>
      <w:r w:rsidR="0055436D">
        <w:t>repurposing part of the</w:t>
      </w:r>
      <w:r w:rsidR="00C9229B">
        <w:t xml:space="preserve"> SSB-associated </w:t>
      </w:r>
      <w:r w:rsidR="000C5F43">
        <w:t>contention-</w:t>
      </w:r>
      <w:r w:rsidR="0099424B">
        <w:t xml:space="preserve">free </w:t>
      </w:r>
      <w:r w:rsidR="00C9229B">
        <w:t xml:space="preserve">preamble region </w:t>
      </w:r>
      <w:r w:rsidR="0055436D">
        <w:t>for</w:t>
      </w:r>
      <w:r w:rsidR="00C9229B">
        <w:t xml:space="preserve"> 2-step RA</w:t>
      </w:r>
      <w:r w:rsidR="004B524E">
        <w:t>.</w:t>
      </w:r>
      <w:r w:rsidR="005F5BBA">
        <w:t xml:space="preserve"> </w:t>
      </w:r>
      <w:r w:rsidR="004B524E">
        <w:t>Th</w:t>
      </w:r>
      <w:r w:rsidR="005F5BBA">
        <w:t>e</w:t>
      </w:r>
      <w:r w:rsidR="004B524E">
        <w:t xml:space="preserve"> </w:t>
      </w:r>
      <w:r w:rsidR="00C9229B">
        <w:t xml:space="preserve">2-step RA preambles </w:t>
      </w:r>
      <w:r w:rsidR="004B524E">
        <w:t xml:space="preserve">can </w:t>
      </w:r>
      <w:r w:rsidR="005F5BBA">
        <w:t xml:space="preserve">then </w:t>
      </w:r>
      <w:r w:rsidR="004B524E">
        <w:t xml:space="preserve">be split into an A and B group similar to the 4-step </w:t>
      </w:r>
      <w:r w:rsidR="000C5F43">
        <w:t>contention-based</w:t>
      </w:r>
      <w:r w:rsidR="004B524E">
        <w:t xml:space="preserve"> preambles. </w:t>
      </w:r>
      <w:r w:rsidR="00245E28">
        <w:t xml:space="preserve">As can be seen from the figure below, </w:t>
      </w:r>
      <w:r w:rsidR="000C5F43">
        <w:t xml:space="preserve">in </w:t>
      </w:r>
      <w:r w:rsidR="00245E28">
        <w:t xml:space="preserve">the end </w:t>
      </w:r>
      <w:r w:rsidR="000C5F43">
        <w:t xml:space="preserve">the </w:t>
      </w:r>
      <w:r w:rsidR="00245E28">
        <w:t>result is that the</w:t>
      </w:r>
      <w:r w:rsidR="00B23C50">
        <w:t xml:space="preserve"> </w:t>
      </w:r>
      <w:r w:rsidR="00EC43E8">
        <w:t>SSB</w:t>
      </w:r>
      <w:r w:rsidR="000C5F43">
        <w:t>-</w:t>
      </w:r>
      <w:r w:rsidR="00EC43E8">
        <w:t xml:space="preserve">associated </w:t>
      </w:r>
      <w:r w:rsidR="000C5F43">
        <w:t>contention-based</w:t>
      </w:r>
      <w:r w:rsidR="00B23C50">
        <w:t xml:space="preserve"> preamble</w:t>
      </w:r>
      <w:r w:rsidR="00EC43E8">
        <w:t>s</w:t>
      </w:r>
      <w:r w:rsidR="00245E28">
        <w:t xml:space="preserve"> </w:t>
      </w:r>
      <w:r w:rsidR="00B23C50">
        <w:t>ha</w:t>
      </w:r>
      <w:r w:rsidR="00EC43E8">
        <w:t>ve</w:t>
      </w:r>
      <w:r w:rsidR="00B23C50">
        <w:t xml:space="preserve"> been split into four </w:t>
      </w:r>
      <w:r w:rsidR="00705F57">
        <w:t>partitions</w:t>
      </w:r>
      <w:r w:rsidR="00B23C50">
        <w:t>:</w:t>
      </w:r>
    </w:p>
    <w:p w14:paraId="72F541E8" w14:textId="49BAF64A" w:rsidR="002A5334" w:rsidRDefault="002B6E1C" w:rsidP="002A5334">
      <w:pPr>
        <w:pStyle w:val="BodyText"/>
        <w:numPr>
          <w:ilvl w:val="0"/>
          <w:numId w:val="27"/>
        </w:numPr>
      </w:pPr>
      <w:r>
        <w:t xml:space="preserve">For </w:t>
      </w:r>
      <w:r w:rsidR="00B23C50">
        <w:t xml:space="preserve">4-step RA </w:t>
      </w:r>
    </w:p>
    <w:p w14:paraId="28C953B3" w14:textId="43BA3165" w:rsidR="002A5334" w:rsidRDefault="00B23C50" w:rsidP="002A5334">
      <w:pPr>
        <w:pStyle w:val="BodyText"/>
        <w:numPr>
          <w:ilvl w:val="1"/>
          <w:numId w:val="27"/>
        </w:numPr>
      </w:pPr>
      <w:r>
        <w:t>group A</w:t>
      </w:r>
      <w:r w:rsidR="002A5334">
        <w:t xml:space="preserve"> (partition 00)</w:t>
      </w:r>
    </w:p>
    <w:p w14:paraId="486D25CE" w14:textId="0A2A0049" w:rsidR="00B23C50" w:rsidRDefault="00B23C50" w:rsidP="002A5334">
      <w:pPr>
        <w:pStyle w:val="BodyText"/>
        <w:numPr>
          <w:ilvl w:val="1"/>
          <w:numId w:val="27"/>
        </w:numPr>
      </w:pPr>
      <w:r>
        <w:t>group B</w:t>
      </w:r>
      <w:r w:rsidR="002A5334">
        <w:t xml:space="preserve"> (partition 01)</w:t>
      </w:r>
    </w:p>
    <w:p w14:paraId="7F3254FB" w14:textId="42366854" w:rsidR="002A5334" w:rsidRDefault="002B6E1C" w:rsidP="002A5334">
      <w:pPr>
        <w:pStyle w:val="BodyText"/>
        <w:numPr>
          <w:ilvl w:val="0"/>
          <w:numId w:val="27"/>
        </w:numPr>
      </w:pPr>
      <w:r>
        <w:t xml:space="preserve">For </w:t>
      </w:r>
      <w:r w:rsidR="00B23C50">
        <w:t xml:space="preserve">2-step RA </w:t>
      </w:r>
    </w:p>
    <w:p w14:paraId="01ECC73E" w14:textId="71FFAFD8" w:rsidR="004B524E" w:rsidRDefault="002A5334" w:rsidP="002A5334">
      <w:pPr>
        <w:pStyle w:val="BodyText"/>
        <w:numPr>
          <w:ilvl w:val="1"/>
          <w:numId w:val="27"/>
        </w:numPr>
      </w:pPr>
      <w:r>
        <w:t>group A (partition 10)</w:t>
      </w:r>
    </w:p>
    <w:p w14:paraId="30047F5B" w14:textId="5C66A2DE" w:rsidR="002A5334" w:rsidRDefault="002A5334" w:rsidP="002A5334">
      <w:pPr>
        <w:pStyle w:val="BodyText"/>
        <w:numPr>
          <w:ilvl w:val="1"/>
          <w:numId w:val="27"/>
        </w:numPr>
      </w:pPr>
      <w:r>
        <w:t>group B (partition 11)</w:t>
      </w:r>
    </w:p>
    <w:p w14:paraId="3F0B2B6F" w14:textId="30BEC6FD" w:rsidR="004C353D" w:rsidRDefault="004C353D" w:rsidP="00E736A5">
      <w:pPr>
        <w:pStyle w:val="BodyText"/>
        <w:spacing w:before="240"/>
      </w:pPr>
      <w:r>
        <w:t>(</w:t>
      </w:r>
      <w:r w:rsidR="002031F8">
        <w:t>If the partition index is written in binary like above t</w:t>
      </w:r>
      <w:r w:rsidR="00953EDE">
        <w:t xml:space="preserve">he </w:t>
      </w:r>
      <w:r w:rsidR="002031F8">
        <w:t>0</w:t>
      </w:r>
      <w:r w:rsidR="00415D7B">
        <w:t>'</w:t>
      </w:r>
      <w:r w:rsidR="002031F8">
        <w:t>s and 1</w:t>
      </w:r>
      <w:r w:rsidR="00415D7B">
        <w:t>'</w:t>
      </w:r>
      <w:r w:rsidR="002031F8">
        <w:t>s</w:t>
      </w:r>
      <w:r w:rsidR="00953EDE">
        <w:t xml:space="preserve"> </w:t>
      </w:r>
      <w:r w:rsidR="002031F8">
        <w:t xml:space="preserve">can be interpreted as </w:t>
      </w:r>
      <w:r w:rsidR="00F60880">
        <w:t xml:space="preserve">those </w:t>
      </w:r>
      <w:r w:rsidR="002031F8">
        <w:t xml:space="preserve">a feature being </w:t>
      </w:r>
      <w:r w:rsidR="00F60880">
        <w:t>indicated or not</w:t>
      </w:r>
      <w:r w:rsidR="002031F8">
        <w:t xml:space="preserve">, e.g. 01 means that </w:t>
      </w:r>
      <w:r w:rsidR="00F60880">
        <w:t>a UE using a preamble in that partition indicates Group B but not 2</w:t>
      </w:r>
      <w:r w:rsidR="002031F8">
        <w:t>-step RA</w:t>
      </w:r>
      <w:r>
        <w:t>)</w:t>
      </w:r>
      <w:r w:rsidR="002031F8">
        <w:t>.</w:t>
      </w:r>
    </w:p>
    <w:p w14:paraId="0A55D754" w14:textId="1C30C1C5" w:rsidR="007C6B0A" w:rsidRDefault="005F5BBA">
      <w:pPr>
        <w:pStyle w:val="BodyText"/>
      </w:pPr>
      <w:r>
        <w:t xml:space="preserve">Note that, </w:t>
      </w:r>
      <w:r w:rsidR="00857132">
        <w:t xml:space="preserve">if </w:t>
      </w:r>
      <w:r w:rsidR="00504268">
        <w:t xml:space="preserve">2-step RA </w:t>
      </w:r>
      <w:r w:rsidR="00857132">
        <w:t xml:space="preserve">shares RACH resources with </w:t>
      </w:r>
      <w:r w:rsidR="00504268">
        <w:t>4-step RA,</w:t>
      </w:r>
      <w:r w:rsidR="007C6B0A">
        <w:t xml:space="preserve"> the </w:t>
      </w:r>
      <w:r w:rsidR="00F62EA9">
        <w:t>SSB-associated</w:t>
      </w:r>
      <w:r w:rsidR="007C6B0A">
        <w:t xml:space="preserve"> </w:t>
      </w:r>
      <w:r w:rsidR="000C5F43">
        <w:t>contention-based</w:t>
      </w:r>
      <w:r>
        <w:t xml:space="preserve"> </w:t>
      </w:r>
      <w:r w:rsidR="007C6B0A">
        <w:t xml:space="preserve">preambles used for 2-step RA look like </w:t>
      </w:r>
      <w:r w:rsidR="000C5F43">
        <w:t>contention-free</w:t>
      </w:r>
      <w:r w:rsidR="007C6B0A">
        <w:t xml:space="preserve"> preambles</w:t>
      </w:r>
      <w:r w:rsidR="00504268">
        <w:t xml:space="preserve"> to a Rel-15 UE</w:t>
      </w:r>
      <w:r w:rsidR="007C6B0A">
        <w:t>.</w:t>
      </w:r>
      <w:r w:rsidR="00504268">
        <w:t xml:space="preserve"> There is therefore no risk that a Rel-15 UE uses the 2-step RA preambles</w:t>
      </w:r>
      <w:r w:rsidR="002B6E1C">
        <w:t>, thus</w:t>
      </w:r>
      <w:r w:rsidR="00504268">
        <w:t xml:space="preserve"> mak</w:t>
      </w:r>
      <w:r w:rsidR="002B6E1C">
        <w:t>ing</w:t>
      </w:r>
      <w:r w:rsidR="00504268">
        <w:t xml:space="preserve"> the solution backwards compatible.</w:t>
      </w:r>
    </w:p>
    <w:p w14:paraId="4FF5B897" w14:textId="31A01B3F" w:rsidR="00857132" w:rsidRDefault="00857132">
      <w:pPr>
        <w:pStyle w:val="BodyText"/>
      </w:pPr>
      <w:r>
        <w:t xml:space="preserve">If 2-step RA shares RACH resources with 4-step RA, it is also possible to restrict the RACH </w:t>
      </w:r>
      <w:r w:rsidR="00240D1D">
        <w:t xml:space="preserve">occasions </w:t>
      </w:r>
      <w:r>
        <w:t xml:space="preserve">that can be used for 2-step RA. </w:t>
      </w:r>
      <w:r w:rsidR="00E736A5">
        <w:t xml:space="preserve">This is done by configuring a </w:t>
      </w:r>
      <w:r>
        <w:t>RACH occasion mask</w:t>
      </w:r>
      <w:r w:rsidR="003B4B84">
        <w:t xml:space="preserve"> (</w:t>
      </w:r>
      <w:r w:rsidR="008A74E4">
        <w:t xml:space="preserve">indicated via the field </w:t>
      </w:r>
      <w:r w:rsidR="003B4B84" w:rsidRPr="003B4B84">
        <w:rPr>
          <w:i/>
          <w:iCs/>
        </w:rPr>
        <w:t>msgA-SSB-SharedRO-MaskIndex</w:t>
      </w:r>
      <w:r w:rsidR="008A74E4">
        <w:t xml:space="preserve"> in the </w:t>
      </w:r>
      <w:r w:rsidR="008A74E4" w:rsidRPr="002B6E1C">
        <w:rPr>
          <w:i/>
          <w:iCs/>
        </w:rPr>
        <w:t>RACH-ConfigCommonTwoStepRA</w:t>
      </w:r>
      <w:r w:rsidR="008A74E4">
        <w:t xml:space="preserve"> IE</w:t>
      </w:r>
      <w:r w:rsidR="003B4B84">
        <w:t>)</w:t>
      </w:r>
      <w:r w:rsidR="00E736A5">
        <w:t xml:space="preserve"> which</w:t>
      </w:r>
      <w:r>
        <w:t xml:space="preserve"> indicates which </w:t>
      </w:r>
      <w:r w:rsidR="00E736A5">
        <w:t xml:space="preserve">of the </w:t>
      </w:r>
      <w:r>
        <w:t xml:space="preserve">SSB-associated RACH occasions that can be used for the 2-step RA preamble transmission. Note that this assumes that an SSB is mapped to </w:t>
      </w:r>
      <w:r w:rsidR="00E736A5">
        <w:t>more than one RACH occasion.</w:t>
      </w:r>
    </w:p>
    <w:p w14:paraId="2E412C2A" w14:textId="77777777" w:rsidR="007C6B0A" w:rsidRDefault="007C6B0A" w:rsidP="00EC72AB">
      <w:pPr>
        <w:pStyle w:val="BodyText"/>
      </w:pPr>
    </w:p>
    <w:p w14:paraId="4BD1337D" w14:textId="214584CA" w:rsidR="007F4082" w:rsidRDefault="005F5BBA" w:rsidP="00EC43E8">
      <w:pPr>
        <w:pStyle w:val="BodyText"/>
        <w:jc w:val="center"/>
      </w:pPr>
      <w:r>
        <w:rPr>
          <w:noProof/>
        </w:rPr>
        <w:drawing>
          <wp:inline distT="0" distB="0" distL="0" distR="0" wp14:anchorId="71674065" wp14:editId="4EC5C3F6">
            <wp:extent cx="6141600" cy="3160800"/>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41600" cy="3160800"/>
                    </a:xfrm>
                    <a:prstGeom prst="rect">
                      <a:avLst/>
                    </a:prstGeom>
                    <a:noFill/>
                  </pic:spPr>
                </pic:pic>
              </a:graphicData>
            </a:graphic>
          </wp:inline>
        </w:drawing>
      </w:r>
    </w:p>
    <w:p w14:paraId="2F55D53D" w14:textId="72A60C82" w:rsidR="007F4082" w:rsidRDefault="007F4082" w:rsidP="00EC72AB">
      <w:pPr>
        <w:pStyle w:val="BodyText"/>
        <w:jc w:val="center"/>
      </w:pPr>
    </w:p>
    <w:p w14:paraId="573FF1E2" w14:textId="31235090" w:rsidR="00A524A2" w:rsidRDefault="00C971E1" w:rsidP="009D411F">
      <w:pPr>
        <w:pStyle w:val="Caption"/>
        <w:jc w:val="center"/>
      </w:pPr>
      <w:r w:rsidRPr="00B623F5">
        <w:t>Figure</w:t>
      </w:r>
      <w:r>
        <w:t xml:space="preserve"> </w:t>
      </w:r>
      <w:fldSimple w:instr=" SEQ Figure \* ARABIC ">
        <w:r w:rsidR="00B100D4">
          <w:rPr>
            <w:noProof/>
          </w:rPr>
          <w:t>4</w:t>
        </w:r>
      </w:fldSimple>
      <w:r w:rsidR="006A70F7">
        <w:rPr>
          <w:noProof/>
        </w:rPr>
        <w:t>:</w:t>
      </w:r>
      <w:r>
        <w:t xml:space="preserve"> Preamble partitioning in case of shared RACH resource</w:t>
      </w:r>
      <w:r w:rsidR="00A93B7A">
        <w:t>s</w:t>
      </w:r>
      <w:r>
        <w:t xml:space="preserve"> for 4-step and 2-step RA</w:t>
      </w:r>
    </w:p>
    <w:p w14:paraId="2A90446B" w14:textId="4C9EE439" w:rsidR="007F4082" w:rsidRDefault="002A43EF" w:rsidP="00B100D4">
      <w:pPr>
        <w:pStyle w:val="Heading3"/>
      </w:pPr>
      <w:r>
        <w:lastRenderedPageBreak/>
        <w:t>2</w:t>
      </w:r>
      <w:r w:rsidR="007F4082">
        <w:t>.</w:t>
      </w:r>
      <w:r w:rsidR="00487D1C">
        <w:t>1.</w:t>
      </w:r>
      <w:r>
        <w:t>3</w:t>
      </w:r>
      <w:r w:rsidR="00487D1C">
        <w:tab/>
      </w:r>
      <w:r w:rsidR="007F4082">
        <w:t>RACH partitioning for Rel-17 features</w:t>
      </w:r>
    </w:p>
    <w:p w14:paraId="283C76B5" w14:textId="10AE8BEA" w:rsidR="00997E99" w:rsidRDefault="00997E99" w:rsidP="00BB54D4">
      <w:pPr>
        <w:pStyle w:val="BodyText"/>
      </w:pPr>
      <w:r>
        <w:t xml:space="preserve">The amount of RACH resources and/or preambles is typically slightly over-dimensioned to cope with access peaks and </w:t>
      </w:r>
      <w:r w:rsidR="005F797A">
        <w:t xml:space="preserve">other uncertainties in the estimated RACH load. </w:t>
      </w:r>
      <w:r>
        <w:t>With RACH partitioning the over-dimensioning needs to be done for each partition separately</w:t>
      </w:r>
      <w:r w:rsidR="002B6E1C">
        <w:t>,</w:t>
      </w:r>
      <w:r>
        <w:t xml:space="preserve"> which means the total </w:t>
      </w:r>
      <w:r w:rsidR="002B6E1C">
        <w:t xml:space="preserve">required </w:t>
      </w:r>
      <w:r>
        <w:t>amount of RACH resources and preambles increases compared to when partitioning is not used. The specification complexity also increases with RACH portioning since all the partitions resulting from the different combinations of features need to be possible to configure via RRC signalling. For these reasons</w:t>
      </w:r>
      <w:r w:rsidR="002B6E1C">
        <w:t>, it is desired</w:t>
      </w:r>
      <w:r>
        <w:t xml:space="preserve"> to </w:t>
      </w:r>
      <w:r w:rsidR="002B6E1C">
        <w:t>minimize</w:t>
      </w:r>
      <w:r>
        <w:t xml:space="preserve"> the amount of RACH partitioning.</w:t>
      </w:r>
    </w:p>
    <w:p w14:paraId="7A120C9F" w14:textId="188EC691" w:rsidR="00997E99" w:rsidRDefault="00997E99" w:rsidP="00BB54D4">
      <w:pPr>
        <w:pStyle w:val="Observation"/>
      </w:pPr>
      <w:bookmarkStart w:id="1" w:name="_Toc79076463"/>
      <w:r>
        <w:t>RACH partitioning should generally be avoided</w:t>
      </w:r>
      <w:r w:rsidR="002B6E1C">
        <w:t>,</w:t>
      </w:r>
      <w:r>
        <w:t xml:space="preserve"> to reduce radio resource overhead/processing and to reduce specification complexity</w:t>
      </w:r>
      <w:r w:rsidR="002B6E1C">
        <w:t>.</w:t>
      </w:r>
      <w:bookmarkEnd w:id="1"/>
    </w:p>
    <w:p w14:paraId="3E7275BB" w14:textId="37294901" w:rsidR="00F86CA6" w:rsidRDefault="00474A58" w:rsidP="00BB54D4">
      <w:pPr>
        <w:pStyle w:val="BodyText"/>
      </w:pPr>
      <w:r>
        <w:t>As we saw in the previous sections, in addition to the SSB/beam RACH partitioning, we already have RACH partitioning for group A/B and 2-step RA</w:t>
      </w:r>
      <w:r w:rsidR="00C66AF6">
        <w:t>,</w:t>
      </w:r>
      <w:r w:rsidR="004D1C5A">
        <w:t xml:space="preserve"> and i</w:t>
      </w:r>
      <w:r w:rsidR="00752EC1">
        <w:t xml:space="preserve">n Rel-17 it is possible that RACH partitioning will also be introduced for RedCap, SDT, CovEnh and </w:t>
      </w:r>
      <w:r w:rsidR="004D1C5A">
        <w:t>slicing.</w:t>
      </w:r>
    </w:p>
    <w:p w14:paraId="0BCC02D6" w14:textId="1F30C24F" w:rsidR="00F86CA6" w:rsidRDefault="00F86CA6" w:rsidP="00BB54D4">
      <w:pPr>
        <w:pStyle w:val="Observation"/>
      </w:pPr>
      <w:bookmarkStart w:id="2" w:name="_Toc79076464"/>
      <w:r>
        <w:t xml:space="preserve">RACH partitioning </w:t>
      </w:r>
      <w:r w:rsidR="00093289">
        <w:t>is already used today for determining the SSB/beam</w:t>
      </w:r>
      <w:r w:rsidR="003F268F">
        <w:t xml:space="preserve"> association</w:t>
      </w:r>
      <w:r w:rsidR="00093289">
        <w:t xml:space="preserve"> and for differentiating between 2-step and 4-step RA and between group A and B.</w:t>
      </w:r>
      <w:bookmarkEnd w:id="2"/>
    </w:p>
    <w:p w14:paraId="2179B30F" w14:textId="6AFC7F08" w:rsidR="00EE0AC6" w:rsidRDefault="00BB54D4" w:rsidP="00D5162B">
      <w:pPr>
        <w:pStyle w:val="BodyText"/>
      </w:pPr>
      <w:r>
        <w:t>In general, assuming binary (on/off) features and assuming that it should be possible to indicate all combination</w:t>
      </w:r>
      <w:r w:rsidR="005F797A">
        <w:t>s</w:t>
      </w:r>
      <w:r>
        <w:t xml:space="preserve"> of features, the number of </w:t>
      </w:r>
      <w:r w:rsidR="0025480F">
        <w:t xml:space="preserve">preamble sets </w:t>
      </w:r>
      <w:r>
        <w:t xml:space="preserve">grows as </w:t>
      </w:r>
      <w:r w:rsidR="004D1C5A" w:rsidRPr="002B6E1C">
        <w:rPr>
          <w:i/>
          <w:iCs/>
        </w:rPr>
        <w:t xml:space="preserve">n x </w:t>
      </w:r>
      <w:r w:rsidRPr="002B6E1C">
        <w:rPr>
          <w:i/>
          <w:iCs/>
        </w:rPr>
        <w:t>2^</w:t>
      </w:r>
      <w:r w:rsidR="004D1C5A" w:rsidRPr="002B6E1C">
        <w:rPr>
          <w:i/>
          <w:iCs/>
        </w:rPr>
        <w:t>k</w:t>
      </w:r>
      <w:r>
        <w:t xml:space="preserve"> where </w:t>
      </w:r>
      <w:r w:rsidR="004D1C5A" w:rsidRPr="002B6E1C">
        <w:rPr>
          <w:i/>
          <w:iCs/>
        </w:rPr>
        <w:t>n</w:t>
      </w:r>
      <w:r w:rsidR="004D1C5A">
        <w:t xml:space="preserve"> is the number of SSBs</w:t>
      </w:r>
      <w:r w:rsidR="005F797A">
        <w:t xml:space="preserve"> and</w:t>
      </w:r>
      <w:r w:rsidR="004D1C5A">
        <w:t xml:space="preserve"> </w:t>
      </w:r>
      <w:r w:rsidR="004D1C5A" w:rsidRPr="002B6E1C">
        <w:rPr>
          <w:i/>
          <w:iCs/>
        </w:rPr>
        <w:t>k</w:t>
      </w:r>
      <w:r>
        <w:t xml:space="preserve"> is the number of features. </w:t>
      </w:r>
      <w:r w:rsidR="00752EC1">
        <w:t xml:space="preserve">However, some </w:t>
      </w:r>
      <w:r w:rsidR="004D1C5A">
        <w:t xml:space="preserve">combinations can be excluded </w:t>
      </w:r>
      <w:r w:rsidR="005F797A">
        <w:t>because</w:t>
      </w:r>
      <w:r w:rsidR="004D1C5A">
        <w:t xml:space="preserve"> some </w:t>
      </w:r>
      <w:r w:rsidR="00752EC1">
        <w:t xml:space="preserve">features are </w:t>
      </w:r>
      <w:r w:rsidR="004D1C5A">
        <w:t xml:space="preserve">not compatible with each other. </w:t>
      </w:r>
      <w:r w:rsidR="00EE0AC6">
        <w:t>It is also expected that not all feature</w:t>
      </w:r>
      <w:r w:rsidR="002B6E1C">
        <w:t xml:space="preserve"> combinations</w:t>
      </w:r>
      <w:r w:rsidR="00EE0AC6">
        <w:t xml:space="preserve"> will be used in practice (at least not simultaneously in the same deployment) which will further reduce the number of combinations</w:t>
      </w:r>
      <w:r w:rsidR="00A8118A">
        <w:t xml:space="preserve"> in a real deployment</w:t>
      </w:r>
      <w:r w:rsidR="00EE0AC6">
        <w:t>.</w:t>
      </w:r>
    </w:p>
    <w:p w14:paraId="66FE4072" w14:textId="73A251C3" w:rsidR="00F86CA6" w:rsidRDefault="00F86CA6" w:rsidP="00F86CA6">
      <w:pPr>
        <w:pStyle w:val="Observation"/>
      </w:pPr>
      <w:bookmarkStart w:id="3" w:name="_Toc79076465"/>
      <w:r>
        <w:t xml:space="preserve">In general, the number of </w:t>
      </w:r>
      <w:r w:rsidR="0025480F">
        <w:t xml:space="preserve">preamble sets </w:t>
      </w:r>
      <w:r>
        <w:t>grows exponentially with the number of features</w:t>
      </w:r>
      <w:r w:rsidR="0067694E">
        <w:t>.</w:t>
      </w:r>
      <w:bookmarkEnd w:id="3"/>
    </w:p>
    <w:p w14:paraId="42FB3AA4" w14:textId="1F8D087F" w:rsidR="00F86CA6" w:rsidRDefault="00F86CA6" w:rsidP="00F86CA6">
      <w:pPr>
        <w:pStyle w:val="Observation"/>
      </w:pPr>
      <w:bookmarkStart w:id="4" w:name="_Toc79076466"/>
      <w:r>
        <w:t>Some feature combinations can be excluded due to feature incompatibility</w:t>
      </w:r>
      <w:r w:rsidR="0067694E">
        <w:t>.</w:t>
      </w:r>
      <w:bookmarkEnd w:id="4"/>
    </w:p>
    <w:p w14:paraId="5C98A4FC" w14:textId="51711A46" w:rsidR="00F86CA6" w:rsidRDefault="00F86CA6" w:rsidP="00D5162B">
      <w:pPr>
        <w:pStyle w:val="Observation"/>
      </w:pPr>
      <w:bookmarkStart w:id="5" w:name="_Toc79076467"/>
      <w:r>
        <w:t>In real deployment it is expected that only a subset of the features and feature combinations will be enabled.</w:t>
      </w:r>
      <w:bookmarkEnd w:id="5"/>
    </w:p>
    <w:p w14:paraId="65EF5623" w14:textId="569DA437" w:rsidR="00D5162B" w:rsidRDefault="004D1C5A" w:rsidP="00D5162B">
      <w:pPr>
        <w:pStyle w:val="BodyText"/>
      </w:pPr>
      <w:r>
        <w:t xml:space="preserve">The table below gives a preliminary view of which other features each of the Rel-17 features </w:t>
      </w:r>
      <w:r w:rsidR="004C14BA">
        <w:t>is</w:t>
      </w:r>
      <w:r>
        <w:t xml:space="preserve"> compatible with.</w:t>
      </w:r>
      <w:r w:rsidR="00D5162B">
        <w:t xml:space="preserve"> </w:t>
      </w:r>
      <w:r w:rsidR="00EE0AC6">
        <w:t xml:space="preserve">For example, </w:t>
      </w:r>
      <w:r w:rsidR="002F49FB">
        <w:t>i</w:t>
      </w:r>
      <w:r w:rsidR="00EE0AC6">
        <w:t xml:space="preserve">t is expected that CovEnh </w:t>
      </w:r>
      <w:r w:rsidR="002F49FB">
        <w:t>will not be possible to combi</w:t>
      </w:r>
      <w:r w:rsidR="00491CFF">
        <w:t>n</w:t>
      </w:r>
      <w:r w:rsidR="002F49FB">
        <w:t xml:space="preserve">e </w:t>
      </w:r>
      <w:r w:rsidR="00EE0AC6">
        <w:t>with SDT since th</w:t>
      </w:r>
      <w:r w:rsidR="0055436D">
        <w:t>is</w:t>
      </w:r>
      <w:r w:rsidR="00EE0AC6">
        <w:t xml:space="preserve"> feature </w:t>
      </w:r>
      <w:r w:rsidR="00825B39">
        <w:t xml:space="preserve">generally </w:t>
      </w:r>
      <w:r w:rsidR="00EE0AC6">
        <w:t>require</w:t>
      </w:r>
      <w:r w:rsidR="00825B39">
        <w:t>s</w:t>
      </w:r>
      <w:r w:rsidR="00EE0AC6">
        <w:t xml:space="preserve"> that the UE is in good coverage.</w:t>
      </w:r>
      <w:r w:rsidR="00984C13">
        <w:t xml:space="preserve"> It might also be that </w:t>
      </w:r>
      <w:r w:rsidR="006C0FB0">
        <w:t>additional</w:t>
      </w:r>
      <w:r w:rsidR="00984C13">
        <w:t xml:space="preserve"> combinations are excluded to keep the signalling complexity at a reasonable level.</w:t>
      </w:r>
      <w:r w:rsidR="00081C64">
        <w:t xml:space="preserve"> Note that the reason for allowing SDT to be combined with group A/B is because we expect that there may be a need to support two different sizes for MSG3/MSGA when SDT is used</w:t>
      </w:r>
      <w:r w:rsidR="006E5555">
        <w:t xml:space="preserve"> (although they may not be called group A/B but rather something new, e.g. SDT TBS1 and TBS2)</w:t>
      </w:r>
      <w:r w:rsidR="00081C64">
        <w:t>.</w:t>
      </w:r>
    </w:p>
    <w:p w14:paraId="497F5C70" w14:textId="49317CE8" w:rsidR="00752EC1" w:rsidRDefault="004C14BA" w:rsidP="004C14BA">
      <w:pPr>
        <w:pStyle w:val="Caption"/>
        <w:jc w:val="center"/>
      </w:pPr>
      <w:bookmarkStart w:id="6" w:name="_Ref70945928"/>
      <w:r>
        <w:t xml:space="preserve">Table </w:t>
      </w:r>
      <w:fldSimple w:instr=" SEQ Table \* ARABIC ">
        <w:r w:rsidR="00B100D4">
          <w:rPr>
            <w:noProof/>
          </w:rPr>
          <w:t>1</w:t>
        </w:r>
      </w:fldSimple>
      <w:bookmarkEnd w:id="6"/>
      <w:r>
        <w:t xml:space="preserve"> Rel-17 feature compatibility</w:t>
      </w:r>
      <w:r w:rsidR="004E7DF1">
        <w:t xml:space="preserve"> (“-</w:t>
      </w:r>
      <w:r w:rsidR="00384DF0">
        <w:t>”</w:t>
      </w:r>
      <w:r w:rsidR="004E7DF1">
        <w:t xml:space="preserve"> denotes “not applicable or duplicate”, “Legacy” denotes “already supported in Rel-16</w:t>
      </w:r>
      <w:r w:rsidR="00384DF0">
        <w:t>”</w:t>
      </w:r>
      <w:r w:rsidR="004E7DF1">
        <w:t>, “X” denotes “should be supported in Rel-17”)</w:t>
      </w:r>
    </w:p>
    <w:tbl>
      <w:tblPr>
        <w:tblStyle w:val="GridTable2-Accent1"/>
        <w:tblW w:w="0" w:type="auto"/>
        <w:tblLook w:val="04A0" w:firstRow="1" w:lastRow="0" w:firstColumn="1" w:lastColumn="0" w:noHBand="0" w:noVBand="1"/>
      </w:tblPr>
      <w:tblGrid>
        <w:gridCol w:w="1375"/>
        <w:gridCol w:w="1375"/>
        <w:gridCol w:w="1375"/>
        <w:gridCol w:w="1376"/>
        <w:gridCol w:w="1376"/>
        <w:gridCol w:w="1376"/>
        <w:gridCol w:w="1376"/>
      </w:tblGrid>
      <w:tr w:rsidR="004E7DF1" w14:paraId="2A968561" w14:textId="77777777" w:rsidTr="004E7D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75" w:type="dxa"/>
          </w:tcPr>
          <w:p w14:paraId="588E2442" w14:textId="77777777" w:rsidR="004E7DF1" w:rsidRDefault="004E7DF1" w:rsidP="00BB54D4">
            <w:pPr>
              <w:pStyle w:val="BodyText"/>
            </w:pPr>
          </w:p>
        </w:tc>
        <w:tc>
          <w:tcPr>
            <w:tcW w:w="1375" w:type="dxa"/>
          </w:tcPr>
          <w:p w14:paraId="6011E8E4" w14:textId="75969E09" w:rsidR="004E7DF1" w:rsidRDefault="004E7DF1" w:rsidP="00BB54D4">
            <w:pPr>
              <w:pStyle w:val="BodyText"/>
              <w:cnfStyle w:val="100000000000" w:firstRow="1" w:lastRow="0" w:firstColumn="0" w:lastColumn="0" w:oddVBand="0" w:evenVBand="0" w:oddHBand="0" w:evenHBand="0" w:firstRowFirstColumn="0" w:firstRowLastColumn="0" w:lastRowFirstColumn="0" w:lastRowLastColumn="0"/>
            </w:pPr>
            <w:r>
              <w:t>Group B</w:t>
            </w:r>
          </w:p>
        </w:tc>
        <w:tc>
          <w:tcPr>
            <w:tcW w:w="1375" w:type="dxa"/>
          </w:tcPr>
          <w:p w14:paraId="2A2068C4" w14:textId="378307D3" w:rsidR="004E7DF1" w:rsidRDefault="004E7DF1" w:rsidP="00BB54D4">
            <w:pPr>
              <w:pStyle w:val="BodyText"/>
              <w:cnfStyle w:val="100000000000" w:firstRow="1" w:lastRow="0" w:firstColumn="0" w:lastColumn="0" w:oddVBand="0" w:evenVBand="0" w:oddHBand="0" w:evenHBand="0" w:firstRowFirstColumn="0" w:firstRowLastColumn="0" w:lastRowFirstColumn="0" w:lastRowLastColumn="0"/>
            </w:pPr>
            <w:r>
              <w:t>2-step RA</w:t>
            </w:r>
          </w:p>
        </w:tc>
        <w:tc>
          <w:tcPr>
            <w:tcW w:w="1376" w:type="dxa"/>
          </w:tcPr>
          <w:p w14:paraId="385FFD4C" w14:textId="31CCB60A" w:rsidR="004E7DF1" w:rsidRDefault="004E7DF1" w:rsidP="00BB54D4">
            <w:pPr>
              <w:pStyle w:val="BodyText"/>
              <w:cnfStyle w:val="100000000000" w:firstRow="1" w:lastRow="0" w:firstColumn="0" w:lastColumn="0" w:oddVBand="0" w:evenVBand="0" w:oddHBand="0" w:evenHBand="0" w:firstRowFirstColumn="0" w:firstRowLastColumn="0" w:lastRowFirstColumn="0" w:lastRowLastColumn="0"/>
            </w:pPr>
            <w:r>
              <w:t>RedCap</w:t>
            </w:r>
          </w:p>
        </w:tc>
        <w:tc>
          <w:tcPr>
            <w:tcW w:w="1376" w:type="dxa"/>
          </w:tcPr>
          <w:p w14:paraId="55851B22" w14:textId="4653BF9D" w:rsidR="004E7DF1" w:rsidRDefault="004E7DF1" w:rsidP="00BB54D4">
            <w:pPr>
              <w:pStyle w:val="BodyText"/>
              <w:cnfStyle w:val="100000000000" w:firstRow="1" w:lastRow="0" w:firstColumn="0" w:lastColumn="0" w:oddVBand="0" w:evenVBand="0" w:oddHBand="0" w:evenHBand="0" w:firstRowFirstColumn="0" w:firstRowLastColumn="0" w:lastRowFirstColumn="0" w:lastRowLastColumn="0"/>
            </w:pPr>
            <w:r>
              <w:t>SmallData</w:t>
            </w:r>
          </w:p>
        </w:tc>
        <w:tc>
          <w:tcPr>
            <w:tcW w:w="1376" w:type="dxa"/>
          </w:tcPr>
          <w:p w14:paraId="6E6ECEFA" w14:textId="2C8C883E" w:rsidR="004E7DF1" w:rsidRDefault="004E7DF1" w:rsidP="00BB54D4">
            <w:pPr>
              <w:pStyle w:val="BodyText"/>
              <w:cnfStyle w:val="100000000000" w:firstRow="1" w:lastRow="0" w:firstColumn="0" w:lastColumn="0" w:oddVBand="0" w:evenVBand="0" w:oddHBand="0" w:evenHBand="0" w:firstRowFirstColumn="0" w:firstRowLastColumn="0" w:lastRowFirstColumn="0" w:lastRowLastColumn="0"/>
            </w:pPr>
            <w:r>
              <w:t>CovEnh</w:t>
            </w:r>
          </w:p>
        </w:tc>
        <w:tc>
          <w:tcPr>
            <w:tcW w:w="1376" w:type="dxa"/>
          </w:tcPr>
          <w:p w14:paraId="2C072EAE" w14:textId="725A80DC" w:rsidR="004E7DF1" w:rsidRDefault="004E7DF1" w:rsidP="00BB54D4">
            <w:pPr>
              <w:pStyle w:val="BodyText"/>
              <w:cnfStyle w:val="100000000000" w:firstRow="1" w:lastRow="0" w:firstColumn="0" w:lastColumn="0" w:oddVBand="0" w:evenVBand="0" w:oddHBand="0" w:evenHBand="0" w:firstRowFirstColumn="0" w:firstRowLastColumn="0" w:lastRowFirstColumn="0" w:lastRowLastColumn="0"/>
            </w:pPr>
            <w:r>
              <w:t>Slicing</w:t>
            </w:r>
          </w:p>
        </w:tc>
      </w:tr>
      <w:tr w:rsidR="004E7DF1" w14:paraId="2B97D24F" w14:textId="77777777" w:rsidTr="004E7D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75" w:type="dxa"/>
          </w:tcPr>
          <w:p w14:paraId="6B87AE9B" w14:textId="71928230" w:rsidR="004E7DF1" w:rsidRDefault="004E7DF1" w:rsidP="00BB54D4">
            <w:pPr>
              <w:pStyle w:val="BodyText"/>
            </w:pPr>
            <w:r>
              <w:t>Group B</w:t>
            </w:r>
          </w:p>
        </w:tc>
        <w:tc>
          <w:tcPr>
            <w:tcW w:w="1375" w:type="dxa"/>
          </w:tcPr>
          <w:p w14:paraId="4F425E61" w14:textId="7F06A8F2" w:rsidR="004E7DF1" w:rsidRDefault="004E7DF1" w:rsidP="004E7DF1">
            <w:pPr>
              <w:pStyle w:val="BodyText"/>
              <w:jc w:val="center"/>
              <w:cnfStyle w:val="000000100000" w:firstRow="0" w:lastRow="0" w:firstColumn="0" w:lastColumn="0" w:oddVBand="0" w:evenVBand="0" w:oddHBand="1" w:evenHBand="0" w:firstRowFirstColumn="0" w:firstRowLastColumn="0" w:lastRowFirstColumn="0" w:lastRowLastColumn="0"/>
            </w:pPr>
            <w:r>
              <w:t>-</w:t>
            </w:r>
          </w:p>
        </w:tc>
        <w:tc>
          <w:tcPr>
            <w:tcW w:w="1375" w:type="dxa"/>
          </w:tcPr>
          <w:p w14:paraId="402B82A2" w14:textId="032A5F63" w:rsidR="004E7DF1" w:rsidRDefault="004E7DF1" w:rsidP="004E7DF1">
            <w:pPr>
              <w:pStyle w:val="BodyText"/>
              <w:jc w:val="center"/>
              <w:cnfStyle w:val="000000100000" w:firstRow="0" w:lastRow="0" w:firstColumn="0" w:lastColumn="0" w:oddVBand="0" w:evenVBand="0" w:oddHBand="1" w:evenHBand="0" w:firstRowFirstColumn="0" w:firstRowLastColumn="0" w:lastRowFirstColumn="0" w:lastRowLastColumn="0"/>
            </w:pPr>
            <w:r>
              <w:t>Legacy</w:t>
            </w:r>
          </w:p>
        </w:tc>
        <w:tc>
          <w:tcPr>
            <w:tcW w:w="1376" w:type="dxa"/>
          </w:tcPr>
          <w:p w14:paraId="603F610F" w14:textId="0B9A0889" w:rsidR="004E7DF1" w:rsidRDefault="004E7DF1" w:rsidP="004E7DF1">
            <w:pPr>
              <w:pStyle w:val="BodyText"/>
              <w:jc w:val="center"/>
              <w:cnfStyle w:val="000000100000" w:firstRow="0" w:lastRow="0" w:firstColumn="0" w:lastColumn="0" w:oddVBand="0" w:evenVBand="0" w:oddHBand="1" w:evenHBand="0" w:firstRowFirstColumn="0" w:firstRowLastColumn="0" w:lastRowFirstColumn="0" w:lastRowLastColumn="0"/>
            </w:pPr>
            <w:r>
              <w:t>X</w:t>
            </w:r>
          </w:p>
        </w:tc>
        <w:tc>
          <w:tcPr>
            <w:tcW w:w="1376" w:type="dxa"/>
          </w:tcPr>
          <w:p w14:paraId="7A7B5EFA" w14:textId="2F46197A" w:rsidR="004E7DF1" w:rsidRDefault="004E7DF1" w:rsidP="004E7DF1">
            <w:pPr>
              <w:pStyle w:val="BodyText"/>
              <w:jc w:val="center"/>
              <w:cnfStyle w:val="000000100000" w:firstRow="0" w:lastRow="0" w:firstColumn="0" w:lastColumn="0" w:oddVBand="0" w:evenVBand="0" w:oddHBand="1" w:evenHBand="0" w:firstRowFirstColumn="0" w:firstRowLastColumn="0" w:lastRowFirstColumn="0" w:lastRowLastColumn="0"/>
            </w:pPr>
            <w:r>
              <w:t>X</w:t>
            </w:r>
          </w:p>
        </w:tc>
        <w:tc>
          <w:tcPr>
            <w:tcW w:w="1376" w:type="dxa"/>
          </w:tcPr>
          <w:p w14:paraId="69F7978D" w14:textId="761CE22F" w:rsidR="004E7DF1" w:rsidRDefault="0055436D" w:rsidP="004E7DF1">
            <w:pPr>
              <w:pStyle w:val="BodyText"/>
              <w:jc w:val="center"/>
              <w:cnfStyle w:val="000000100000" w:firstRow="0" w:lastRow="0" w:firstColumn="0" w:lastColumn="0" w:oddVBand="0" w:evenVBand="0" w:oddHBand="1" w:evenHBand="0" w:firstRowFirstColumn="0" w:firstRowLastColumn="0" w:lastRowFirstColumn="0" w:lastRowLastColumn="0"/>
            </w:pPr>
            <w:r>
              <w:t>FFS</w:t>
            </w:r>
          </w:p>
        </w:tc>
        <w:tc>
          <w:tcPr>
            <w:tcW w:w="1376" w:type="dxa"/>
          </w:tcPr>
          <w:p w14:paraId="5A7DEA71" w14:textId="405BE43B" w:rsidR="004E7DF1" w:rsidRDefault="004E7DF1" w:rsidP="004E7DF1">
            <w:pPr>
              <w:pStyle w:val="BodyText"/>
              <w:jc w:val="center"/>
              <w:cnfStyle w:val="000000100000" w:firstRow="0" w:lastRow="0" w:firstColumn="0" w:lastColumn="0" w:oddVBand="0" w:evenVBand="0" w:oddHBand="1" w:evenHBand="0" w:firstRowFirstColumn="0" w:firstRowLastColumn="0" w:lastRowFirstColumn="0" w:lastRowLastColumn="0"/>
            </w:pPr>
            <w:r>
              <w:t>X</w:t>
            </w:r>
          </w:p>
        </w:tc>
      </w:tr>
      <w:tr w:rsidR="004E7DF1" w14:paraId="0380FC07" w14:textId="77777777" w:rsidTr="004E7DF1">
        <w:tc>
          <w:tcPr>
            <w:cnfStyle w:val="001000000000" w:firstRow="0" w:lastRow="0" w:firstColumn="1" w:lastColumn="0" w:oddVBand="0" w:evenVBand="0" w:oddHBand="0" w:evenHBand="0" w:firstRowFirstColumn="0" w:firstRowLastColumn="0" w:lastRowFirstColumn="0" w:lastRowLastColumn="0"/>
            <w:tcW w:w="1375" w:type="dxa"/>
          </w:tcPr>
          <w:p w14:paraId="7A6BF1B2" w14:textId="2B93A50F" w:rsidR="004E7DF1" w:rsidRDefault="004E7DF1" w:rsidP="00BB54D4">
            <w:pPr>
              <w:pStyle w:val="BodyText"/>
            </w:pPr>
            <w:r>
              <w:t>2-step RA</w:t>
            </w:r>
          </w:p>
        </w:tc>
        <w:tc>
          <w:tcPr>
            <w:tcW w:w="1375" w:type="dxa"/>
          </w:tcPr>
          <w:p w14:paraId="1A242111" w14:textId="3D8C5A34" w:rsidR="004E7DF1" w:rsidRDefault="004E7DF1" w:rsidP="004E7DF1">
            <w:pPr>
              <w:pStyle w:val="BodyText"/>
              <w:jc w:val="center"/>
              <w:cnfStyle w:val="000000000000" w:firstRow="0" w:lastRow="0" w:firstColumn="0" w:lastColumn="0" w:oddVBand="0" w:evenVBand="0" w:oddHBand="0" w:evenHBand="0" w:firstRowFirstColumn="0" w:firstRowLastColumn="0" w:lastRowFirstColumn="0" w:lastRowLastColumn="0"/>
            </w:pPr>
            <w:r>
              <w:t>-</w:t>
            </w:r>
          </w:p>
        </w:tc>
        <w:tc>
          <w:tcPr>
            <w:tcW w:w="1375" w:type="dxa"/>
          </w:tcPr>
          <w:p w14:paraId="77155620" w14:textId="6C426E8E" w:rsidR="004E7DF1" w:rsidRDefault="004E7DF1" w:rsidP="004E7DF1">
            <w:pPr>
              <w:pStyle w:val="BodyText"/>
              <w:jc w:val="center"/>
              <w:cnfStyle w:val="000000000000" w:firstRow="0" w:lastRow="0" w:firstColumn="0" w:lastColumn="0" w:oddVBand="0" w:evenVBand="0" w:oddHBand="0" w:evenHBand="0" w:firstRowFirstColumn="0" w:firstRowLastColumn="0" w:lastRowFirstColumn="0" w:lastRowLastColumn="0"/>
            </w:pPr>
            <w:r>
              <w:t>-</w:t>
            </w:r>
          </w:p>
        </w:tc>
        <w:tc>
          <w:tcPr>
            <w:tcW w:w="1376" w:type="dxa"/>
          </w:tcPr>
          <w:p w14:paraId="0895F85F" w14:textId="42290916" w:rsidR="004E7DF1" w:rsidRDefault="00CB44D7" w:rsidP="004E7DF1">
            <w:pPr>
              <w:pStyle w:val="BodyText"/>
              <w:jc w:val="center"/>
              <w:cnfStyle w:val="000000000000" w:firstRow="0" w:lastRow="0" w:firstColumn="0" w:lastColumn="0" w:oddVBand="0" w:evenVBand="0" w:oddHBand="0" w:evenHBand="0" w:firstRowFirstColumn="0" w:firstRowLastColumn="0" w:lastRowFirstColumn="0" w:lastRowLastColumn="0"/>
            </w:pPr>
            <w:r>
              <w:t>FSS</w:t>
            </w:r>
          </w:p>
        </w:tc>
        <w:tc>
          <w:tcPr>
            <w:tcW w:w="1376" w:type="dxa"/>
          </w:tcPr>
          <w:p w14:paraId="7C6619F8" w14:textId="0F956C6D" w:rsidR="004E7DF1" w:rsidRDefault="004E7DF1" w:rsidP="004E7DF1">
            <w:pPr>
              <w:pStyle w:val="BodyText"/>
              <w:jc w:val="center"/>
              <w:cnfStyle w:val="000000000000" w:firstRow="0" w:lastRow="0" w:firstColumn="0" w:lastColumn="0" w:oddVBand="0" w:evenVBand="0" w:oddHBand="0" w:evenHBand="0" w:firstRowFirstColumn="0" w:firstRowLastColumn="0" w:lastRowFirstColumn="0" w:lastRowLastColumn="0"/>
            </w:pPr>
            <w:r>
              <w:t>X</w:t>
            </w:r>
          </w:p>
        </w:tc>
        <w:tc>
          <w:tcPr>
            <w:tcW w:w="1376" w:type="dxa"/>
          </w:tcPr>
          <w:p w14:paraId="73FF278A" w14:textId="77777777" w:rsidR="004E7DF1" w:rsidRDefault="004E7DF1" w:rsidP="004E7DF1">
            <w:pPr>
              <w:pStyle w:val="BodyText"/>
              <w:jc w:val="center"/>
              <w:cnfStyle w:val="000000000000" w:firstRow="0" w:lastRow="0" w:firstColumn="0" w:lastColumn="0" w:oddVBand="0" w:evenVBand="0" w:oddHBand="0" w:evenHBand="0" w:firstRowFirstColumn="0" w:firstRowLastColumn="0" w:lastRowFirstColumn="0" w:lastRowLastColumn="0"/>
            </w:pPr>
          </w:p>
        </w:tc>
        <w:tc>
          <w:tcPr>
            <w:tcW w:w="1376" w:type="dxa"/>
          </w:tcPr>
          <w:p w14:paraId="1E9CE16E" w14:textId="204F80B4" w:rsidR="004E7DF1" w:rsidRDefault="004E7DF1" w:rsidP="004E7DF1">
            <w:pPr>
              <w:pStyle w:val="BodyText"/>
              <w:jc w:val="center"/>
              <w:cnfStyle w:val="000000000000" w:firstRow="0" w:lastRow="0" w:firstColumn="0" w:lastColumn="0" w:oddVBand="0" w:evenVBand="0" w:oddHBand="0" w:evenHBand="0" w:firstRowFirstColumn="0" w:firstRowLastColumn="0" w:lastRowFirstColumn="0" w:lastRowLastColumn="0"/>
            </w:pPr>
            <w:r>
              <w:t>X</w:t>
            </w:r>
          </w:p>
        </w:tc>
      </w:tr>
      <w:tr w:rsidR="004E7DF1" w14:paraId="7B54FD02" w14:textId="77777777" w:rsidTr="004E7D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75" w:type="dxa"/>
          </w:tcPr>
          <w:p w14:paraId="06513B77" w14:textId="3E7E6DBB" w:rsidR="004E7DF1" w:rsidRDefault="004E7DF1" w:rsidP="00BB54D4">
            <w:pPr>
              <w:pStyle w:val="BodyText"/>
            </w:pPr>
            <w:r>
              <w:t>RedCap</w:t>
            </w:r>
          </w:p>
        </w:tc>
        <w:tc>
          <w:tcPr>
            <w:tcW w:w="1375" w:type="dxa"/>
          </w:tcPr>
          <w:p w14:paraId="7562EA11" w14:textId="4C6D5455" w:rsidR="004E7DF1" w:rsidRDefault="004E7DF1" w:rsidP="004E7DF1">
            <w:pPr>
              <w:pStyle w:val="BodyText"/>
              <w:jc w:val="center"/>
              <w:cnfStyle w:val="000000100000" w:firstRow="0" w:lastRow="0" w:firstColumn="0" w:lastColumn="0" w:oddVBand="0" w:evenVBand="0" w:oddHBand="1" w:evenHBand="0" w:firstRowFirstColumn="0" w:firstRowLastColumn="0" w:lastRowFirstColumn="0" w:lastRowLastColumn="0"/>
            </w:pPr>
            <w:r>
              <w:t>-</w:t>
            </w:r>
          </w:p>
        </w:tc>
        <w:tc>
          <w:tcPr>
            <w:tcW w:w="1375" w:type="dxa"/>
          </w:tcPr>
          <w:p w14:paraId="6EBA83F6" w14:textId="4B98371F" w:rsidR="004E7DF1" w:rsidRDefault="004E7DF1" w:rsidP="004E7DF1">
            <w:pPr>
              <w:pStyle w:val="BodyText"/>
              <w:jc w:val="center"/>
              <w:cnfStyle w:val="000000100000" w:firstRow="0" w:lastRow="0" w:firstColumn="0" w:lastColumn="0" w:oddVBand="0" w:evenVBand="0" w:oddHBand="1" w:evenHBand="0" w:firstRowFirstColumn="0" w:firstRowLastColumn="0" w:lastRowFirstColumn="0" w:lastRowLastColumn="0"/>
            </w:pPr>
            <w:r>
              <w:t>-</w:t>
            </w:r>
          </w:p>
        </w:tc>
        <w:tc>
          <w:tcPr>
            <w:tcW w:w="1376" w:type="dxa"/>
          </w:tcPr>
          <w:p w14:paraId="046562E4" w14:textId="5F68C72D" w:rsidR="004E7DF1" w:rsidRDefault="004E7DF1" w:rsidP="004E7DF1">
            <w:pPr>
              <w:pStyle w:val="BodyText"/>
              <w:jc w:val="center"/>
              <w:cnfStyle w:val="000000100000" w:firstRow="0" w:lastRow="0" w:firstColumn="0" w:lastColumn="0" w:oddVBand="0" w:evenVBand="0" w:oddHBand="1" w:evenHBand="0" w:firstRowFirstColumn="0" w:firstRowLastColumn="0" w:lastRowFirstColumn="0" w:lastRowLastColumn="0"/>
            </w:pPr>
            <w:r>
              <w:t>-</w:t>
            </w:r>
          </w:p>
        </w:tc>
        <w:tc>
          <w:tcPr>
            <w:tcW w:w="1376" w:type="dxa"/>
          </w:tcPr>
          <w:p w14:paraId="408F754F" w14:textId="4812AD76" w:rsidR="004E7DF1" w:rsidRDefault="004E7DF1" w:rsidP="004E7DF1">
            <w:pPr>
              <w:pStyle w:val="BodyText"/>
              <w:jc w:val="center"/>
              <w:cnfStyle w:val="000000100000" w:firstRow="0" w:lastRow="0" w:firstColumn="0" w:lastColumn="0" w:oddVBand="0" w:evenVBand="0" w:oddHBand="1" w:evenHBand="0" w:firstRowFirstColumn="0" w:firstRowLastColumn="0" w:lastRowFirstColumn="0" w:lastRowLastColumn="0"/>
            </w:pPr>
            <w:r>
              <w:t>X</w:t>
            </w:r>
          </w:p>
        </w:tc>
        <w:tc>
          <w:tcPr>
            <w:tcW w:w="1376" w:type="dxa"/>
          </w:tcPr>
          <w:p w14:paraId="5A941F2E" w14:textId="474BF56A" w:rsidR="004E7DF1" w:rsidRDefault="004E7DF1" w:rsidP="004E7DF1">
            <w:pPr>
              <w:pStyle w:val="BodyText"/>
              <w:jc w:val="center"/>
              <w:cnfStyle w:val="000000100000" w:firstRow="0" w:lastRow="0" w:firstColumn="0" w:lastColumn="0" w:oddVBand="0" w:evenVBand="0" w:oddHBand="1" w:evenHBand="0" w:firstRowFirstColumn="0" w:firstRowLastColumn="0" w:lastRowFirstColumn="0" w:lastRowLastColumn="0"/>
            </w:pPr>
            <w:r>
              <w:t>X</w:t>
            </w:r>
          </w:p>
        </w:tc>
        <w:tc>
          <w:tcPr>
            <w:tcW w:w="1376" w:type="dxa"/>
          </w:tcPr>
          <w:p w14:paraId="7F7D0C7C" w14:textId="250947FE" w:rsidR="004E7DF1" w:rsidRDefault="004E7DF1" w:rsidP="004E7DF1">
            <w:pPr>
              <w:pStyle w:val="BodyText"/>
              <w:jc w:val="center"/>
              <w:cnfStyle w:val="000000100000" w:firstRow="0" w:lastRow="0" w:firstColumn="0" w:lastColumn="0" w:oddVBand="0" w:evenVBand="0" w:oddHBand="1" w:evenHBand="0" w:firstRowFirstColumn="0" w:firstRowLastColumn="0" w:lastRowFirstColumn="0" w:lastRowLastColumn="0"/>
            </w:pPr>
            <w:r>
              <w:t>X</w:t>
            </w:r>
          </w:p>
        </w:tc>
      </w:tr>
      <w:tr w:rsidR="004E7DF1" w14:paraId="389E7C4B" w14:textId="77777777" w:rsidTr="004E7DF1">
        <w:tc>
          <w:tcPr>
            <w:cnfStyle w:val="001000000000" w:firstRow="0" w:lastRow="0" w:firstColumn="1" w:lastColumn="0" w:oddVBand="0" w:evenVBand="0" w:oddHBand="0" w:evenHBand="0" w:firstRowFirstColumn="0" w:firstRowLastColumn="0" w:lastRowFirstColumn="0" w:lastRowLastColumn="0"/>
            <w:tcW w:w="1375" w:type="dxa"/>
          </w:tcPr>
          <w:p w14:paraId="067B419F" w14:textId="53A54504" w:rsidR="004E7DF1" w:rsidRDefault="004E7DF1" w:rsidP="00BB54D4">
            <w:pPr>
              <w:pStyle w:val="BodyText"/>
            </w:pPr>
            <w:r>
              <w:t>SmallData</w:t>
            </w:r>
          </w:p>
        </w:tc>
        <w:tc>
          <w:tcPr>
            <w:tcW w:w="1375" w:type="dxa"/>
          </w:tcPr>
          <w:p w14:paraId="41912908" w14:textId="194919BF" w:rsidR="004E7DF1" w:rsidRDefault="004E7DF1" w:rsidP="004E7DF1">
            <w:pPr>
              <w:pStyle w:val="BodyText"/>
              <w:jc w:val="center"/>
              <w:cnfStyle w:val="000000000000" w:firstRow="0" w:lastRow="0" w:firstColumn="0" w:lastColumn="0" w:oddVBand="0" w:evenVBand="0" w:oddHBand="0" w:evenHBand="0" w:firstRowFirstColumn="0" w:firstRowLastColumn="0" w:lastRowFirstColumn="0" w:lastRowLastColumn="0"/>
            </w:pPr>
            <w:r>
              <w:t>-</w:t>
            </w:r>
          </w:p>
        </w:tc>
        <w:tc>
          <w:tcPr>
            <w:tcW w:w="1375" w:type="dxa"/>
          </w:tcPr>
          <w:p w14:paraId="78E0018D" w14:textId="29876BB7" w:rsidR="004E7DF1" w:rsidRDefault="004E7DF1" w:rsidP="004E7DF1">
            <w:pPr>
              <w:pStyle w:val="BodyText"/>
              <w:jc w:val="center"/>
              <w:cnfStyle w:val="000000000000" w:firstRow="0" w:lastRow="0" w:firstColumn="0" w:lastColumn="0" w:oddVBand="0" w:evenVBand="0" w:oddHBand="0" w:evenHBand="0" w:firstRowFirstColumn="0" w:firstRowLastColumn="0" w:lastRowFirstColumn="0" w:lastRowLastColumn="0"/>
            </w:pPr>
            <w:r>
              <w:t>-</w:t>
            </w:r>
          </w:p>
        </w:tc>
        <w:tc>
          <w:tcPr>
            <w:tcW w:w="1376" w:type="dxa"/>
          </w:tcPr>
          <w:p w14:paraId="44A882C5" w14:textId="51ADED14" w:rsidR="004E7DF1" w:rsidRDefault="004E7DF1" w:rsidP="004E7DF1">
            <w:pPr>
              <w:pStyle w:val="BodyText"/>
              <w:jc w:val="center"/>
              <w:cnfStyle w:val="000000000000" w:firstRow="0" w:lastRow="0" w:firstColumn="0" w:lastColumn="0" w:oddVBand="0" w:evenVBand="0" w:oddHBand="0" w:evenHBand="0" w:firstRowFirstColumn="0" w:firstRowLastColumn="0" w:lastRowFirstColumn="0" w:lastRowLastColumn="0"/>
            </w:pPr>
            <w:r>
              <w:t>-</w:t>
            </w:r>
          </w:p>
        </w:tc>
        <w:tc>
          <w:tcPr>
            <w:tcW w:w="1376" w:type="dxa"/>
          </w:tcPr>
          <w:p w14:paraId="0FADA5D9" w14:textId="7BF9864D" w:rsidR="004E7DF1" w:rsidRDefault="004E7DF1" w:rsidP="004E7DF1">
            <w:pPr>
              <w:pStyle w:val="BodyText"/>
              <w:jc w:val="center"/>
              <w:cnfStyle w:val="000000000000" w:firstRow="0" w:lastRow="0" w:firstColumn="0" w:lastColumn="0" w:oddVBand="0" w:evenVBand="0" w:oddHBand="0" w:evenHBand="0" w:firstRowFirstColumn="0" w:firstRowLastColumn="0" w:lastRowFirstColumn="0" w:lastRowLastColumn="0"/>
            </w:pPr>
            <w:r>
              <w:t>-</w:t>
            </w:r>
          </w:p>
        </w:tc>
        <w:tc>
          <w:tcPr>
            <w:tcW w:w="1376" w:type="dxa"/>
          </w:tcPr>
          <w:p w14:paraId="13C026FD" w14:textId="77777777" w:rsidR="004E7DF1" w:rsidRDefault="004E7DF1" w:rsidP="004E7DF1">
            <w:pPr>
              <w:pStyle w:val="BodyText"/>
              <w:jc w:val="center"/>
              <w:cnfStyle w:val="000000000000" w:firstRow="0" w:lastRow="0" w:firstColumn="0" w:lastColumn="0" w:oddVBand="0" w:evenVBand="0" w:oddHBand="0" w:evenHBand="0" w:firstRowFirstColumn="0" w:firstRowLastColumn="0" w:lastRowFirstColumn="0" w:lastRowLastColumn="0"/>
            </w:pPr>
          </w:p>
        </w:tc>
        <w:tc>
          <w:tcPr>
            <w:tcW w:w="1376" w:type="dxa"/>
          </w:tcPr>
          <w:p w14:paraId="4DA47161" w14:textId="701BA380" w:rsidR="004E7DF1" w:rsidRDefault="004E7DF1" w:rsidP="004E7DF1">
            <w:pPr>
              <w:pStyle w:val="BodyText"/>
              <w:jc w:val="center"/>
              <w:cnfStyle w:val="000000000000" w:firstRow="0" w:lastRow="0" w:firstColumn="0" w:lastColumn="0" w:oddVBand="0" w:evenVBand="0" w:oddHBand="0" w:evenHBand="0" w:firstRowFirstColumn="0" w:firstRowLastColumn="0" w:lastRowFirstColumn="0" w:lastRowLastColumn="0"/>
            </w:pPr>
            <w:r>
              <w:t>X</w:t>
            </w:r>
          </w:p>
        </w:tc>
      </w:tr>
      <w:tr w:rsidR="004E7DF1" w14:paraId="24FE294A" w14:textId="77777777" w:rsidTr="004E7D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75" w:type="dxa"/>
          </w:tcPr>
          <w:p w14:paraId="33130BDC" w14:textId="7977FBB0" w:rsidR="004E7DF1" w:rsidRDefault="004E7DF1" w:rsidP="00BB54D4">
            <w:pPr>
              <w:pStyle w:val="BodyText"/>
            </w:pPr>
            <w:r>
              <w:t>CovEnh</w:t>
            </w:r>
          </w:p>
        </w:tc>
        <w:tc>
          <w:tcPr>
            <w:tcW w:w="1375" w:type="dxa"/>
          </w:tcPr>
          <w:p w14:paraId="7CBABCC0" w14:textId="246D7833" w:rsidR="004E7DF1" w:rsidRDefault="004E7DF1" w:rsidP="004E7DF1">
            <w:pPr>
              <w:pStyle w:val="BodyText"/>
              <w:jc w:val="center"/>
              <w:cnfStyle w:val="000000100000" w:firstRow="0" w:lastRow="0" w:firstColumn="0" w:lastColumn="0" w:oddVBand="0" w:evenVBand="0" w:oddHBand="1" w:evenHBand="0" w:firstRowFirstColumn="0" w:firstRowLastColumn="0" w:lastRowFirstColumn="0" w:lastRowLastColumn="0"/>
            </w:pPr>
            <w:r>
              <w:t>-</w:t>
            </w:r>
          </w:p>
        </w:tc>
        <w:tc>
          <w:tcPr>
            <w:tcW w:w="1375" w:type="dxa"/>
          </w:tcPr>
          <w:p w14:paraId="22E81D0B" w14:textId="4B3C21F3" w:rsidR="004E7DF1" w:rsidRDefault="004E7DF1" w:rsidP="004E7DF1">
            <w:pPr>
              <w:pStyle w:val="BodyText"/>
              <w:jc w:val="center"/>
              <w:cnfStyle w:val="000000100000" w:firstRow="0" w:lastRow="0" w:firstColumn="0" w:lastColumn="0" w:oddVBand="0" w:evenVBand="0" w:oddHBand="1" w:evenHBand="0" w:firstRowFirstColumn="0" w:firstRowLastColumn="0" w:lastRowFirstColumn="0" w:lastRowLastColumn="0"/>
            </w:pPr>
            <w:r>
              <w:t>-</w:t>
            </w:r>
          </w:p>
        </w:tc>
        <w:tc>
          <w:tcPr>
            <w:tcW w:w="1376" w:type="dxa"/>
          </w:tcPr>
          <w:p w14:paraId="3DAEFC3F" w14:textId="186CE90B" w:rsidR="004E7DF1" w:rsidRDefault="004E7DF1" w:rsidP="004E7DF1">
            <w:pPr>
              <w:pStyle w:val="BodyText"/>
              <w:jc w:val="center"/>
              <w:cnfStyle w:val="000000100000" w:firstRow="0" w:lastRow="0" w:firstColumn="0" w:lastColumn="0" w:oddVBand="0" w:evenVBand="0" w:oddHBand="1" w:evenHBand="0" w:firstRowFirstColumn="0" w:firstRowLastColumn="0" w:lastRowFirstColumn="0" w:lastRowLastColumn="0"/>
            </w:pPr>
            <w:r>
              <w:t>-</w:t>
            </w:r>
          </w:p>
        </w:tc>
        <w:tc>
          <w:tcPr>
            <w:tcW w:w="1376" w:type="dxa"/>
          </w:tcPr>
          <w:p w14:paraId="7D0FE123" w14:textId="2EA22598" w:rsidR="004E7DF1" w:rsidRDefault="004E7DF1" w:rsidP="004E7DF1">
            <w:pPr>
              <w:pStyle w:val="BodyText"/>
              <w:jc w:val="center"/>
              <w:cnfStyle w:val="000000100000" w:firstRow="0" w:lastRow="0" w:firstColumn="0" w:lastColumn="0" w:oddVBand="0" w:evenVBand="0" w:oddHBand="1" w:evenHBand="0" w:firstRowFirstColumn="0" w:firstRowLastColumn="0" w:lastRowFirstColumn="0" w:lastRowLastColumn="0"/>
            </w:pPr>
            <w:r>
              <w:t>-</w:t>
            </w:r>
          </w:p>
        </w:tc>
        <w:tc>
          <w:tcPr>
            <w:tcW w:w="1376" w:type="dxa"/>
          </w:tcPr>
          <w:p w14:paraId="653CFD44" w14:textId="2D0B2C32" w:rsidR="004E7DF1" w:rsidRDefault="004E7DF1" w:rsidP="004E7DF1">
            <w:pPr>
              <w:pStyle w:val="BodyText"/>
              <w:jc w:val="center"/>
              <w:cnfStyle w:val="000000100000" w:firstRow="0" w:lastRow="0" w:firstColumn="0" w:lastColumn="0" w:oddVBand="0" w:evenVBand="0" w:oddHBand="1" w:evenHBand="0" w:firstRowFirstColumn="0" w:firstRowLastColumn="0" w:lastRowFirstColumn="0" w:lastRowLastColumn="0"/>
            </w:pPr>
            <w:r>
              <w:t>-</w:t>
            </w:r>
          </w:p>
        </w:tc>
        <w:tc>
          <w:tcPr>
            <w:tcW w:w="1376" w:type="dxa"/>
          </w:tcPr>
          <w:p w14:paraId="6FCCF5CA" w14:textId="6F5C6999" w:rsidR="004E7DF1" w:rsidRDefault="004E7DF1" w:rsidP="004E7DF1">
            <w:pPr>
              <w:pStyle w:val="BodyText"/>
              <w:jc w:val="center"/>
              <w:cnfStyle w:val="000000100000" w:firstRow="0" w:lastRow="0" w:firstColumn="0" w:lastColumn="0" w:oddVBand="0" w:evenVBand="0" w:oddHBand="1" w:evenHBand="0" w:firstRowFirstColumn="0" w:firstRowLastColumn="0" w:lastRowFirstColumn="0" w:lastRowLastColumn="0"/>
            </w:pPr>
            <w:r>
              <w:t>X</w:t>
            </w:r>
          </w:p>
        </w:tc>
      </w:tr>
      <w:tr w:rsidR="004E7DF1" w14:paraId="3BC6BDCF" w14:textId="77777777" w:rsidTr="004E7DF1">
        <w:tc>
          <w:tcPr>
            <w:cnfStyle w:val="001000000000" w:firstRow="0" w:lastRow="0" w:firstColumn="1" w:lastColumn="0" w:oddVBand="0" w:evenVBand="0" w:oddHBand="0" w:evenHBand="0" w:firstRowFirstColumn="0" w:firstRowLastColumn="0" w:lastRowFirstColumn="0" w:lastRowLastColumn="0"/>
            <w:tcW w:w="1375" w:type="dxa"/>
          </w:tcPr>
          <w:p w14:paraId="4582CCBB" w14:textId="76CF052E" w:rsidR="004E7DF1" w:rsidRDefault="004E7DF1" w:rsidP="00BB54D4">
            <w:pPr>
              <w:pStyle w:val="BodyText"/>
            </w:pPr>
            <w:r>
              <w:t>Slicing</w:t>
            </w:r>
          </w:p>
        </w:tc>
        <w:tc>
          <w:tcPr>
            <w:tcW w:w="1375" w:type="dxa"/>
          </w:tcPr>
          <w:p w14:paraId="45F4FB66" w14:textId="16A8FEC4" w:rsidR="004E7DF1" w:rsidRDefault="004E7DF1" w:rsidP="004E7DF1">
            <w:pPr>
              <w:pStyle w:val="BodyText"/>
              <w:jc w:val="center"/>
              <w:cnfStyle w:val="000000000000" w:firstRow="0" w:lastRow="0" w:firstColumn="0" w:lastColumn="0" w:oddVBand="0" w:evenVBand="0" w:oddHBand="0" w:evenHBand="0" w:firstRowFirstColumn="0" w:firstRowLastColumn="0" w:lastRowFirstColumn="0" w:lastRowLastColumn="0"/>
            </w:pPr>
            <w:r>
              <w:t>-</w:t>
            </w:r>
          </w:p>
        </w:tc>
        <w:tc>
          <w:tcPr>
            <w:tcW w:w="1375" w:type="dxa"/>
          </w:tcPr>
          <w:p w14:paraId="625D4D3F" w14:textId="5CEF3247" w:rsidR="004E7DF1" w:rsidRDefault="004E7DF1" w:rsidP="004E7DF1">
            <w:pPr>
              <w:pStyle w:val="BodyText"/>
              <w:jc w:val="center"/>
              <w:cnfStyle w:val="000000000000" w:firstRow="0" w:lastRow="0" w:firstColumn="0" w:lastColumn="0" w:oddVBand="0" w:evenVBand="0" w:oddHBand="0" w:evenHBand="0" w:firstRowFirstColumn="0" w:firstRowLastColumn="0" w:lastRowFirstColumn="0" w:lastRowLastColumn="0"/>
            </w:pPr>
            <w:r>
              <w:t>-</w:t>
            </w:r>
          </w:p>
        </w:tc>
        <w:tc>
          <w:tcPr>
            <w:tcW w:w="1376" w:type="dxa"/>
          </w:tcPr>
          <w:p w14:paraId="306957E2" w14:textId="2534F721" w:rsidR="004E7DF1" w:rsidRDefault="004E7DF1" w:rsidP="004E7DF1">
            <w:pPr>
              <w:pStyle w:val="BodyText"/>
              <w:jc w:val="center"/>
              <w:cnfStyle w:val="000000000000" w:firstRow="0" w:lastRow="0" w:firstColumn="0" w:lastColumn="0" w:oddVBand="0" w:evenVBand="0" w:oddHBand="0" w:evenHBand="0" w:firstRowFirstColumn="0" w:firstRowLastColumn="0" w:lastRowFirstColumn="0" w:lastRowLastColumn="0"/>
            </w:pPr>
            <w:r>
              <w:t>-</w:t>
            </w:r>
          </w:p>
        </w:tc>
        <w:tc>
          <w:tcPr>
            <w:tcW w:w="1376" w:type="dxa"/>
          </w:tcPr>
          <w:p w14:paraId="545D4574" w14:textId="1D89082B" w:rsidR="004E7DF1" w:rsidRDefault="004E7DF1" w:rsidP="004E7DF1">
            <w:pPr>
              <w:pStyle w:val="BodyText"/>
              <w:jc w:val="center"/>
              <w:cnfStyle w:val="000000000000" w:firstRow="0" w:lastRow="0" w:firstColumn="0" w:lastColumn="0" w:oddVBand="0" w:evenVBand="0" w:oddHBand="0" w:evenHBand="0" w:firstRowFirstColumn="0" w:firstRowLastColumn="0" w:lastRowFirstColumn="0" w:lastRowLastColumn="0"/>
            </w:pPr>
            <w:r>
              <w:t>-</w:t>
            </w:r>
          </w:p>
        </w:tc>
        <w:tc>
          <w:tcPr>
            <w:tcW w:w="1376" w:type="dxa"/>
          </w:tcPr>
          <w:p w14:paraId="193E5081" w14:textId="20AB3416" w:rsidR="004E7DF1" w:rsidRDefault="004E7DF1" w:rsidP="004E7DF1">
            <w:pPr>
              <w:pStyle w:val="BodyText"/>
              <w:jc w:val="center"/>
              <w:cnfStyle w:val="000000000000" w:firstRow="0" w:lastRow="0" w:firstColumn="0" w:lastColumn="0" w:oddVBand="0" w:evenVBand="0" w:oddHBand="0" w:evenHBand="0" w:firstRowFirstColumn="0" w:firstRowLastColumn="0" w:lastRowFirstColumn="0" w:lastRowLastColumn="0"/>
            </w:pPr>
            <w:r>
              <w:t>-</w:t>
            </w:r>
          </w:p>
        </w:tc>
        <w:tc>
          <w:tcPr>
            <w:tcW w:w="1376" w:type="dxa"/>
          </w:tcPr>
          <w:p w14:paraId="06A324C8" w14:textId="62F9F320" w:rsidR="004E7DF1" w:rsidRDefault="004E7DF1" w:rsidP="004E7DF1">
            <w:pPr>
              <w:pStyle w:val="BodyText"/>
              <w:jc w:val="center"/>
              <w:cnfStyle w:val="000000000000" w:firstRow="0" w:lastRow="0" w:firstColumn="0" w:lastColumn="0" w:oddVBand="0" w:evenVBand="0" w:oddHBand="0" w:evenHBand="0" w:firstRowFirstColumn="0" w:firstRowLastColumn="0" w:lastRowFirstColumn="0" w:lastRowLastColumn="0"/>
            </w:pPr>
            <w:r>
              <w:t>-</w:t>
            </w:r>
          </w:p>
        </w:tc>
      </w:tr>
    </w:tbl>
    <w:p w14:paraId="5E50383D" w14:textId="77777777" w:rsidR="002361CD" w:rsidRDefault="002361CD" w:rsidP="00BB54D4">
      <w:pPr>
        <w:pStyle w:val="BodyText"/>
      </w:pPr>
    </w:p>
    <w:p w14:paraId="3EFDB9C5" w14:textId="03B72712" w:rsidR="000D10E2" w:rsidRDefault="000D10E2" w:rsidP="00785285">
      <w:pPr>
        <w:pStyle w:val="BodyText"/>
      </w:pPr>
      <w:r>
        <w:t xml:space="preserve">To further reduce the number of </w:t>
      </w:r>
      <w:r w:rsidR="0025480F">
        <w:t xml:space="preserve">preamble sets </w:t>
      </w:r>
      <w:r>
        <w:t>it would be good to only consider binary features. In particular, this would imply that:</w:t>
      </w:r>
    </w:p>
    <w:p w14:paraId="66F94597" w14:textId="3C42E921" w:rsidR="00F86CA6" w:rsidRDefault="00F86CA6" w:rsidP="00F86CA6">
      <w:pPr>
        <w:pStyle w:val="BodyText"/>
        <w:numPr>
          <w:ilvl w:val="0"/>
          <w:numId w:val="25"/>
        </w:numPr>
      </w:pPr>
      <w:r>
        <w:t xml:space="preserve">For RedCap we only differentiate between RedCap and non-RedCap UE and not between different types of RedCap UEs (e.g. </w:t>
      </w:r>
      <w:r w:rsidR="00065EA1">
        <w:t xml:space="preserve">with </w:t>
      </w:r>
      <w:r w:rsidR="006E5555">
        <w:t>1 Rx branch pr 2 Rx branches</w:t>
      </w:r>
      <w:r>
        <w:t>)</w:t>
      </w:r>
    </w:p>
    <w:p w14:paraId="03EF93DE" w14:textId="06CEA2C1" w:rsidR="00F86CA6" w:rsidRDefault="00F86CA6" w:rsidP="00F86CA6">
      <w:pPr>
        <w:pStyle w:val="BodyText"/>
        <w:numPr>
          <w:ilvl w:val="0"/>
          <w:numId w:val="25"/>
        </w:numPr>
      </w:pPr>
      <w:r>
        <w:t>For slicing we only differentiate between prioritized and non-prioritized slices; we do not signal the identity of the slice in RACH or introduce some form of multi-level slice priority.</w:t>
      </w:r>
    </w:p>
    <w:p w14:paraId="3BA5982D" w14:textId="4018C599" w:rsidR="00E812C5" w:rsidRDefault="00E812C5" w:rsidP="00E812C5">
      <w:pPr>
        <w:pStyle w:val="BodyText"/>
      </w:pPr>
    </w:p>
    <w:p w14:paraId="5E79ACB3" w14:textId="0C3514EB" w:rsidR="000D10E2" w:rsidRDefault="000D10E2" w:rsidP="00681B6D">
      <w:pPr>
        <w:pStyle w:val="Proposal"/>
      </w:pPr>
      <w:bookmarkStart w:id="7" w:name="_Toc79076453"/>
      <w:r>
        <w:t xml:space="preserve">Only considering binary (on/off) features will reduce the number of </w:t>
      </w:r>
      <w:r w:rsidR="0025480F">
        <w:t>preamble sets</w:t>
      </w:r>
      <w:r w:rsidR="0067694E">
        <w:t>.</w:t>
      </w:r>
      <w:bookmarkEnd w:id="7"/>
    </w:p>
    <w:p w14:paraId="117AC2D2" w14:textId="58EBE578" w:rsidR="004E7DF1" w:rsidRDefault="004E7DF1" w:rsidP="004E7DF1">
      <w:pPr>
        <w:pStyle w:val="BodyText"/>
      </w:pPr>
      <w:r>
        <w:t xml:space="preserve">It is relevant to notice that with the aforementioned assumption in Rel-17 at most </w:t>
      </w:r>
      <w:r w:rsidR="003F268F">
        <w:t xml:space="preserve">32 </w:t>
      </w:r>
      <w:r>
        <w:t xml:space="preserve">different </w:t>
      </w:r>
      <w:r w:rsidR="0025480F">
        <w:t>preamble sets</w:t>
      </w:r>
      <w:r>
        <w:t xml:space="preserve">, each associated to one feature combination, should be supported per SSB whereas currently in legacy only 4 </w:t>
      </w:r>
      <w:r w:rsidR="0025480F">
        <w:t xml:space="preserve">preamble sets </w:t>
      </w:r>
      <w:r>
        <w:t>are supported per SSB (Group A 4-step, Group B 4-step, Group A 2-step and Group B 2-step).</w:t>
      </w:r>
    </w:p>
    <w:p w14:paraId="241E6CC6" w14:textId="5DC09BC9" w:rsidR="004E7DF1" w:rsidRDefault="004E7DF1" w:rsidP="004E7DF1">
      <w:pPr>
        <w:pStyle w:val="Observation"/>
      </w:pPr>
      <w:bookmarkStart w:id="8" w:name="_Toc79076468"/>
      <w:r>
        <w:t xml:space="preserve">At most </w:t>
      </w:r>
      <w:r w:rsidR="003F268F">
        <w:t xml:space="preserve">32 </w:t>
      </w:r>
      <w:r w:rsidR="0025480F">
        <w:t xml:space="preserve">preamble sets </w:t>
      </w:r>
      <w:r>
        <w:t>per SSB should be supported in Rel-17</w:t>
      </w:r>
      <w:bookmarkEnd w:id="8"/>
    </w:p>
    <w:p w14:paraId="2F92CC33" w14:textId="4C24E7A2" w:rsidR="005557CF" w:rsidRDefault="005557CF" w:rsidP="005557CF">
      <w:pPr>
        <w:pStyle w:val="BodyText"/>
      </w:pPr>
      <w:r>
        <w:t xml:space="preserve">Following the above reasoning, each new </w:t>
      </w:r>
      <w:r w:rsidR="0025480F">
        <w:t xml:space="preserve">set </w:t>
      </w:r>
      <w:r>
        <w:t>(however defined, see following sections) is associated to a specific combination of features. This should be reflected in the signalling that defines these preambles.</w:t>
      </w:r>
    </w:p>
    <w:p w14:paraId="6F5D0619" w14:textId="5483D6A9" w:rsidR="00A457FB" w:rsidRDefault="00A457FB" w:rsidP="00B100D4">
      <w:pPr>
        <w:pStyle w:val="Proposal"/>
      </w:pPr>
      <w:bookmarkStart w:id="9" w:name="_Toc79076454"/>
      <w:r>
        <w:t xml:space="preserve">Each new preamble </w:t>
      </w:r>
      <w:r w:rsidR="0025480F">
        <w:t>set</w:t>
      </w:r>
      <w:r>
        <w:t xml:space="preserve"> should be defined on a feature combination basis</w:t>
      </w:r>
      <w:bookmarkEnd w:id="9"/>
    </w:p>
    <w:p w14:paraId="4549ED13" w14:textId="22379271" w:rsidR="002C4501" w:rsidRDefault="00BC53AE" w:rsidP="00BC53AE">
      <w:pPr>
        <w:pStyle w:val="Heading4"/>
      </w:pPr>
      <w:r>
        <w:t>2.1.3.1</w:t>
      </w:r>
      <w:r>
        <w:tab/>
        <w:t>Principles for backwards compatibility</w:t>
      </w:r>
    </w:p>
    <w:p w14:paraId="10E536EA" w14:textId="66848327" w:rsidR="002B2EB9" w:rsidRDefault="00BC53AE" w:rsidP="00BC53AE">
      <w:pPr>
        <w:pStyle w:val="BodyText"/>
      </w:pPr>
      <w:r>
        <w:t>The issue addressed in this WI can be solved in many different ways. Nevertheless, a series of principles should be followed in order to guarantee backwards compatibility with previous releases, which consequently restricts the options that can be adopted.</w:t>
      </w:r>
    </w:p>
    <w:p w14:paraId="04A86915" w14:textId="49CD8E87" w:rsidR="002B2EB9" w:rsidRDefault="002B2EB9" w:rsidP="00BC53AE">
      <w:pPr>
        <w:pStyle w:val="BodyText"/>
      </w:pPr>
      <w:r>
        <w:t>First, any new set of preambles that indicates a Rel-17 feature combination should never be used by legacy UEs (e.g.: randomly chosen).</w:t>
      </w:r>
    </w:p>
    <w:p w14:paraId="6DE1BE23" w14:textId="1948BB30" w:rsidR="002B2EB9" w:rsidRDefault="002B2EB9" w:rsidP="00681B6D">
      <w:pPr>
        <w:pStyle w:val="Proposal"/>
      </w:pPr>
      <w:bookmarkStart w:id="10" w:name="_Toc79076455"/>
      <w:r>
        <w:t>Preambles associated with a Rel-17 feature should never be randomly chosen by legacy UEs</w:t>
      </w:r>
      <w:bookmarkEnd w:id="10"/>
    </w:p>
    <w:p w14:paraId="3BB69DD2" w14:textId="051FF464" w:rsidR="00BC53AE" w:rsidRDefault="00BC53AE" w:rsidP="00BC53AE">
      <w:pPr>
        <w:pStyle w:val="BodyText"/>
      </w:pPr>
      <w:r>
        <w:t xml:space="preserve">A PRACH configuration is already defined in </w:t>
      </w:r>
      <w:r w:rsidR="002B2EB9">
        <w:t xml:space="preserve">legacy and it consists </w:t>
      </w:r>
      <w:r w:rsidR="005F6B5E">
        <w:t>of</w:t>
      </w:r>
      <w:r w:rsidR="002B2EB9">
        <w:t xml:space="preserve"> a set of contention-based preambles (CBPR) and contention-free preambles (CFPR) divided among multiple ROs. The CBPR are further split per SSB, RA-type, GroupA/B, but it should be noted that they are randomly chosen by </w:t>
      </w:r>
      <w:r w:rsidR="005557CF">
        <w:t>a legacy</w:t>
      </w:r>
      <w:r w:rsidR="002B2EB9">
        <w:t xml:space="preserve"> UEs. On the other hand, the CFPR are used by the UE only upon indication from the network, and thus if the network wants to reserve a certain set of CFPR for Rel-17 UEs, it should just avoid </w:t>
      </w:r>
      <w:r w:rsidR="0025480F">
        <w:t>assigning</w:t>
      </w:r>
      <w:r w:rsidR="002B2EB9">
        <w:t xml:space="preserve"> those preambles to legacy UEs. There is a further set of preambles that are not used by </w:t>
      </w:r>
      <w:r w:rsidR="0025480F">
        <w:t>any device</w:t>
      </w:r>
      <w:r w:rsidR="002B2EB9">
        <w:t xml:space="preserve">, each RO can support 64 preambles, but less can be configured through the parameter </w:t>
      </w:r>
      <w:r w:rsidR="002B2EB9" w:rsidRPr="00B100D4">
        <w:rPr>
          <w:i/>
          <w:iCs/>
        </w:rPr>
        <w:t>totalNumberOfRA-Preambles</w:t>
      </w:r>
      <w:r w:rsidR="002B2EB9">
        <w:t>.</w:t>
      </w:r>
    </w:p>
    <w:p w14:paraId="4FF6D993" w14:textId="4D6F8714" w:rsidR="002B2EB9" w:rsidRDefault="002B2EB9" w:rsidP="00BC53AE">
      <w:pPr>
        <w:pStyle w:val="BodyText"/>
      </w:pPr>
      <w:r>
        <w:t>This means that any new feature-sp</w:t>
      </w:r>
      <w:r w:rsidR="005557CF">
        <w:t>e</w:t>
      </w:r>
      <w:r>
        <w:t xml:space="preserve">cific preamble </w:t>
      </w:r>
      <w:r w:rsidR="0025480F">
        <w:t>set</w:t>
      </w:r>
      <w:r>
        <w:t xml:space="preserve"> should be defined in one of three possible ways.</w:t>
      </w:r>
    </w:p>
    <w:p w14:paraId="2D179603" w14:textId="1EDDCF79" w:rsidR="002B2EB9" w:rsidRDefault="002B2EB9" w:rsidP="002B2EB9">
      <w:pPr>
        <w:pStyle w:val="Proposal"/>
      </w:pPr>
      <w:bookmarkStart w:id="11" w:name="_Toc79076456"/>
      <w:r>
        <w:t>New feature specific preamble</w:t>
      </w:r>
      <w:r w:rsidR="008B4074">
        <w:t>s should be defined in</w:t>
      </w:r>
      <w:bookmarkEnd w:id="11"/>
    </w:p>
    <w:p w14:paraId="3E6D1253" w14:textId="71E4075A" w:rsidR="008B4074" w:rsidRDefault="008B4074" w:rsidP="008B4074">
      <w:pPr>
        <w:pStyle w:val="Proposal"/>
        <w:numPr>
          <w:ilvl w:val="1"/>
          <w:numId w:val="3"/>
        </w:numPr>
      </w:pPr>
      <w:bookmarkStart w:id="12" w:name="_Toc79076457"/>
      <w:r>
        <w:t>Separate time-frequency resources, not defined through legacy RRC signalling</w:t>
      </w:r>
      <w:bookmarkEnd w:id="12"/>
    </w:p>
    <w:p w14:paraId="53FAED86" w14:textId="3C744850" w:rsidR="008B4074" w:rsidRDefault="008B4074" w:rsidP="008B4074">
      <w:pPr>
        <w:pStyle w:val="Proposal"/>
        <w:numPr>
          <w:ilvl w:val="1"/>
          <w:numId w:val="3"/>
        </w:numPr>
      </w:pPr>
      <w:bookmarkStart w:id="13" w:name="_Toc79076458"/>
      <w:r>
        <w:t>Within the CFPRs defined through legacy RRC signalling</w:t>
      </w:r>
      <w:bookmarkEnd w:id="13"/>
    </w:p>
    <w:p w14:paraId="5406E99F" w14:textId="486300E7" w:rsidR="008B4074" w:rsidRPr="00B100D4" w:rsidRDefault="008B4074" w:rsidP="008B4074">
      <w:pPr>
        <w:pStyle w:val="Proposal"/>
        <w:numPr>
          <w:ilvl w:val="1"/>
          <w:numId w:val="3"/>
        </w:numPr>
      </w:pPr>
      <w:bookmarkStart w:id="14" w:name="_Toc79076459"/>
      <w:r>
        <w:t xml:space="preserve">Within the “not available” preambles defined at the end of a RO through the legacy  </w:t>
      </w:r>
      <w:r w:rsidRPr="00031CE5">
        <w:rPr>
          <w:i/>
          <w:iCs/>
        </w:rPr>
        <w:t>totalNumberOfRA-Preambles</w:t>
      </w:r>
      <w:bookmarkEnd w:id="14"/>
    </w:p>
    <w:p w14:paraId="192667BA" w14:textId="75CB189F" w:rsidR="008B4074" w:rsidRDefault="00A457FB" w:rsidP="008B4074">
      <w:pPr>
        <w:pStyle w:val="BodyText"/>
      </w:pPr>
      <w:r>
        <w:t xml:space="preserve">Another principle to follow is related to the RO-to-SSB mapping. Currently, the RRC parameter </w:t>
      </w:r>
      <w:r w:rsidRPr="00B100D4">
        <w:rPr>
          <w:i/>
          <w:iCs/>
        </w:rPr>
        <w:t>ssb-perRACH-OccasionAndCB-PreamblesPerSSB</w:t>
      </w:r>
      <w:r>
        <w:t>, and its 2-step RACH counterpart, is used to define how many SSB</w:t>
      </w:r>
      <w:r w:rsidR="000E1C7C">
        <w:t>s</w:t>
      </w:r>
      <w:r>
        <w:t xml:space="preserve"> are mapped to each RO (this parameter is also denote</w:t>
      </w:r>
      <w:r w:rsidR="005557CF">
        <w:t>d</w:t>
      </w:r>
      <w:r>
        <w:t xml:space="preserve"> as </w:t>
      </w:r>
      <w:r w:rsidRPr="00B100D4">
        <w:rPr>
          <w:i/>
          <w:iCs/>
        </w:rPr>
        <w:t>N</w:t>
      </w:r>
      <w:r>
        <w:t xml:space="preserve">). If </w:t>
      </w:r>
      <w:r>
        <w:rPr>
          <w:i/>
          <w:iCs/>
        </w:rPr>
        <w:t>N&gt;</w:t>
      </w:r>
      <w:r w:rsidRPr="00A457FB">
        <w:rPr>
          <w:i/>
          <w:iCs/>
        </w:rPr>
        <w:t>1</w:t>
      </w:r>
      <w:r>
        <w:rPr>
          <w:i/>
          <w:iCs/>
        </w:rPr>
        <w:t xml:space="preserve">, </w:t>
      </w:r>
      <w:r>
        <w:t xml:space="preserve">each RO contains preambles mapped to different SSB. </w:t>
      </w:r>
      <w:r w:rsidRPr="00B100D4">
        <w:rPr>
          <w:i/>
          <w:iCs/>
        </w:rPr>
        <w:t>If</w:t>
      </w:r>
      <w:r>
        <w:t xml:space="preserve"> </w:t>
      </w:r>
      <w:r>
        <w:rPr>
          <w:i/>
          <w:iCs/>
        </w:rPr>
        <w:t>N&lt;1</w:t>
      </w:r>
      <w:r>
        <w:t xml:space="preserve"> each SSB is mapped to several ROs and the mapping is done in such a way that at any time instant all ROs are mapped to a single SSB. By doing </w:t>
      </w:r>
      <w:r w:rsidR="005557CF">
        <w:t>so</w:t>
      </w:r>
      <w:r>
        <w:t xml:space="preserve"> it is possible to use analog beamforming since with this technique the gNB is able to direct a beam only at one direction at a time.</w:t>
      </w:r>
    </w:p>
    <w:p w14:paraId="3F30DBF9" w14:textId="568AF80C" w:rsidR="00A457FB" w:rsidRDefault="00A457FB" w:rsidP="008B4074">
      <w:pPr>
        <w:pStyle w:val="BodyText"/>
      </w:pPr>
      <w:r>
        <w:t>This mapping should be maintained also with the introduction of new preambles partitions.</w:t>
      </w:r>
    </w:p>
    <w:p w14:paraId="2E737EDE" w14:textId="2767FCBD" w:rsidR="00A457FB" w:rsidRPr="008B3EA5" w:rsidRDefault="00A457FB" w:rsidP="00B100D4">
      <w:pPr>
        <w:pStyle w:val="Proposal"/>
      </w:pPr>
      <w:bookmarkStart w:id="15" w:name="_Toc79076460"/>
      <w:r>
        <w:t>New preambles should be evenly distributed among the configured SSB using the same mapping as legacy. In particular if analog beamforming is used, at any time all defined ROs should be mapped to the same SSB</w:t>
      </w:r>
      <w:bookmarkEnd w:id="15"/>
    </w:p>
    <w:p w14:paraId="43376D7F" w14:textId="272D7AC7" w:rsidR="00BC53AE" w:rsidRDefault="00BC53AE" w:rsidP="00BC53AE">
      <w:pPr>
        <w:pStyle w:val="Heading4"/>
      </w:pPr>
      <w:r>
        <w:t>2.1.3.2</w:t>
      </w:r>
      <w:r>
        <w:tab/>
        <w:t>Methods to define further partitions</w:t>
      </w:r>
    </w:p>
    <w:p w14:paraId="16CBF811" w14:textId="6275874C" w:rsidR="004161AE" w:rsidRDefault="004161AE" w:rsidP="004161AE">
      <w:pPr>
        <w:pStyle w:val="BodyText"/>
      </w:pPr>
      <w:r>
        <w:t>Assuming to adopt the minimal amount of changes to the current standard, there are 3 different methods that can be used to further partition the existing RACH resources or define new preambles.</w:t>
      </w:r>
    </w:p>
    <w:p w14:paraId="7E392EFD" w14:textId="6E16B51E" w:rsidR="004161AE" w:rsidRDefault="004161AE" w:rsidP="004161AE">
      <w:pPr>
        <w:pStyle w:val="BodyText"/>
        <w:rPr>
          <w:b/>
          <w:bCs/>
        </w:rPr>
      </w:pPr>
      <w:r w:rsidRPr="00B100D4">
        <w:rPr>
          <w:b/>
          <w:bCs/>
        </w:rPr>
        <w:t>Separate RACH configuration</w:t>
      </w:r>
      <w:r>
        <w:rPr>
          <w:b/>
          <w:bCs/>
        </w:rPr>
        <w:t>:</w:t>
      </w:r>
    </w:p>
    <w:p w14:paraId="51D44B72" w14:textId="49C34601" w:rsidR="004161AE" w:rsidRPr="008B3EA5" w:rsidRDefault="004161AE" w:rsidP="00B100D4">
      <w:pPr>
        <w:pStyle w:val="BodyText"/>
      </w:pPr>
      <w:r>
        <w:t xml:space="preserve">The most straightforward method to define new preambles is to define new independent RACH configurations that will be separate in time-frequency from the legacy one. This can be achieved by reusing the existing </w:t>
      </w:r>
      <w:r w:rsidRPr="00B100D4">
        <w:rPr>
          <w:i/>
          <w:iCs/>
        </w:rPr>
        <w:t>RACH-ConfigCommon</w:t>
      </w:r>
      <w:r>
        <w:t xml:space="preserve"> and </w:t>
      </w:r>
      <w:r w:rsidRPr="00B100D4">
        <w:rPr>
          <w:i/>
          <w:iCs/>
        </w:rPr>
        <w:t>MsgA-ConfigCommon-r16</w:t>
      </w:r>
      <w:r>
        <w:t xml:space="preserve"> IEs and associate them to </w:t>
      </w:r>
      <w:r w:rsidR="00A923F1">
        <w:t xml:space="preserve">one or more </w:t>
      </w:r>
      <w:r>
        <w:t xml:space="preserve">feature </w:t>
      </w:r>
      <w:r>
        <w:lastRenderedPageBreak/>
        <w:t>combination</w:t>
      </w:r>
      <w:r w:rsidR="00A923F1">
        <w:t>s</w:t>
      </w:r>
      <w:r>
        <w:t>. For instance, assuming to introduce a new set of preambles for RedCap, limited to 4-step RACH, the RRC pseudo-code below could be used for the scope.</w:t>
      </w:r>
    </w:p>
    <w:p w14:paraId="4965C5A5" w14:textId="77777777" w:rsidR="004161AE" w:rsidRDefault="004161AE" w:rsidP="00B100D4">
      <w:pPr>
        <w:pStyle w:val="PL"/>
      </w:pPr>
      <w:r>
        <w:t>BWP-UplinkCommon ::=                SEQUENCE {</w:t>
      </w:r>
    </w:p>
    <w:p w14:paraId="6317E933" w14:textId="0239DC5B" w:rsidR="004161AE" w:rsidRDefault="004161AE" w:rsidP="00B100D4">
      <w:pPr>
        <w:pStyle w:val="PL"/>
      </w:pPr>
      <w:r>
        <w:t xml:space="preserve">    rach-ConfigCommon                   SetupRelease { RACH-ConfigCommon }</w:t>
      </w:r>
    </w:p>
    <w:p w14:paraId="275A31AE" w14:textId="6D5E7DAB" w:rsidR="004161AE" w:rsidRDefault="004161AE" w:rsidP="004161AE">
      <w:pPr>
        <w:pStyle w:val="PL"/>
      </w:pPr>
      <w:r>
        <w:t xml:space="preserve">    msgA-ConfigCommon-r16               SetupRelease { MsgA-ConfigCommon-r16 }</w:t>
      </w:r>
    </w:p>
    <w:p w14:paraId="5D07FE15" w14:textId="32CBD4EE" w:rsidR="004161AE" w:rsidRDefault="004161AE" w:rsidP="00B100D4">
      <w:pPr>
        <w:pStyle w:val="PL"/>
      </w:pPr>
      <w:r>
        <w:tab/>
      </w:r>
      <w:r w:rsidRPr="00B100D4">
        <w:rPr>
          <w:color w:val="FF0000"/>
        </w:rPr>
        <w:t>rach-ConfigCommonRedCap             SetupRelease { RACH-ConfigCommon }</w:t>
      </w:r>
    </w:p>
    <w:p w14:paraId="4CEC7397" w14:textId="0219BB56" w:rsidR="00A457FB" w:rsidRDefault="004161AE" w:rsidP="004161AE">
      <w:pPr>
        <w:pStyle w:val="PL"/>
      </w:pPr>
      <w:r>
        <w:t>}</w:t>
      </w:r>
    </w:p>
    <w:p w14:paraId="4B38E020" w14:textId="77777777" w:rsidR="004161AE" w:rsidRDefault="004161AE" w:rsidP="004161AE">
      <w:pPr>
        <w:pStyle w:val="BodyText"/>
      </w:pPr>
    </w:p>
    <w:p w14:paraId="505554FA" w14:textId="5D122679" w:rsidR="004161AE" w:rsidRPr="00A457FB" w:rsidRDefault="004161AE">
      <w:pPr>
        <w:pStyle w:val="BodyText"/>
      </w:pPr>
      <w:r>
        <w:t xml:space="preserve">This would result </w:t>
      </w:r>
      <w:r w:rsidR="0086230E">
        <w:t xml:space="preserve">in a new RACH configuration dedicated to the new feature combination that has a independent PRACH slot structure and periodicity w.r.t. the legacy PRACH. </w:t>
      </w:r>
      <w:r w:rsidR="0086230E">
        <w:fldChar w:fldCharType="begin"/>
      </w:r>
      <w:r w:rsidR="0086230E">
        <w:instrText xml:space="preserve"> REF _Ref75877098 \h </w:instrText>
      </w:r>
      <w:r w:rsidR="0086230E">
        <w:fldChar w:fldCharType="separate"/>
      </w:r>
      <w:r w:rsidR="00B100D4">
        <w:t xml:space="preserve">Figure </w:t>
      </w:r>
      <w:r w:rsidR="00B100D4">
        <w:rPr>
          <w:noProof/>
        </w:rPr>
        <w:t>5</w:t>
      </w:r>
      <w:r w:rsidR="0086230E">
        <w:fldChar w:fldCharType="end"/>
      </w:r>
      <w:r w:rsidR="0086230E">
        <w:t xml:space="preserve"> illustrates this scenario assuming that the legacy 2-step RACH resources are not shared with the legacy 4-step RACH ones.</w:t>
      </w:r>
    </w:p>
    <w:p w14:paraId="0F3362DA" w14:textId="77777777" w:rsidR="004161AE" w:rsidRDefault="004161AE" w:rsidP="00B100D4">
      <w:pPr>
        <w:pStyle w:val="BodyText"/>
        <w:keepNext/>
      </w:pPr>
      <w:r>
        <w:rPr>
          <w:noProof/>
        </w:rPr>
        <w:drawing>
          <wp:inline distT="0" distB="0" distL="0" distR="0" wp14:anchorId="7A5A0A84" wp14:editId="77FD527C">
            <wp:extent cx="6114415" cy="1426210"/>
            <wp:effectExtent l="0" t="0" r="63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4415" cy="1426210"/>
                    </a:xfrm>
                    <a:prstGeom prst="rect">
                      <a:avLst/>
                    </a:prstGeom>
                    <a:noFill/>
                    <a:ln>
                      <a:noFill/>
                    </a:ln>
                  </pic:spPr>
                </pic:pic>
              </a:graphicData>
            </a:graphic>
          </wp:inline>
        </w:drawing>
      </w:r>
    </w:p>
    <w:p w14:paraId="38A1665C" w14:textId="16F79357" w:rsidR="004161AE" w:rsidRDefault="004161AE" w:rsidP="004161AE">
      <w:pPr>
        <w:pStyle w:val="Caption"/>
        <w:jc w:val="both"/>
      </w:pPr>
      <w:bookmarkStart w:id="16" w:name="_Ref75877098"/>
      <w:r>
        <w:t xml:space="preserve">Figure </w:t>
      </w:r>
      <w:fldSimple w:instr=" SEQ Figure \* ARABIC ">
        <w:r w:rsidR="00B100D4">
          <w:rPr>
            <w:noProof/>
          </w:rPr>
          <w:t>5</w:t>
        </w:r>
      </w:fldSimple>
      <w:bookmarkEnd w:id="16"/>
      <w:r>
        <w:t>: Example of feature combination specific RACH partition</w:t>
      </w:r>
      <w:r w:rsidR="001826C5">
        <w:t>in</w:t>
      </w:r>
      <w:r>
        <w:t>g by definition of separate RACH configuration</w:t>
      </w:r>
    </w:p>
    <w:p w14:paraId="0229B1C9" w14:textId="331DF5F7" w:rsidR="0086230E" w:rsidRDefault="0086230E" w:rsidP="0086230E">
      <w:pPr>
        <w:pStyle w:val="Observation"/>
        <w:rPr>
          <w:lang w:eastAsia="en-GB"/>
        </w:rPr>
      </w:pPr>
      <w:bookmarkStart w:id="17" w:name="_Toc79076469"/>
      <w:r>
        <w:rPr>
          <w:lang w:eastAsia="en-GB"/>
        </w:rPr>
        <w:t>New preambles associated with a specific feature combination may be created by defining a separate RACH configuration</w:t>
      </w:r>
      <w:bookmarkEnd w:id="17"/>
    </w:p>
    <w:p w14:paraId="6672C214" w14:textId="412C05D6" w:rsidR="0086230E" w:rsidRDefault="0086230E" w:rsidP="0086230E">
      <w:pPr>
        <w:pStyle w:val="BodyText"/>
      </w:pPr>
      <w:r>
        <w:t>Note also that if the new feature combination has to support both 4-step and 2-step RACH, both IEs can be duplicated and paired together to the same feature combination. In this way the 2-step RACH preambles can be shared or separated exactly like in legacy RACH configuration.</w:t>
      </w:r>
    </w:p>
    <w:p w14:paraId="50E8CD24" w14:textId="66D40F1C" w:rsidR="0086230E" w:rsidRPr="00B100D4" w:rsidRDefault="0086230E" w:rsidP="0086230E">
      <w:pPr>
        <w:pStyle w:val="BodyText"/>
        <w:rPr>
          <w:b/>
          <w:bCs/>
        </w:rPr>
      </w:pPr>
      <w:r w:rsidRPr="00B100D4">
        <w:rPr>
          <w:b/>
          <w:bCs/>
        </w:rPr>
        <w:t>RO masking:</w:t>
      </w:r>
    </w:p>
    <w:p w14:paraId="7054854D" w14:textId="29BA09A6" w:rsidR="0086230E" w:rsidRDefault="0086230E" w:rsidP="0086230E">
      <w:pPr>
        <w:pStyle w:val="BodyText"/>
      </w:pPr>
      <w:r>
        <w:t>A RACH slot contains multiple ROs that are normally associated to the same feature indication (if we assume the previous method has been adopted) or to legacy access. It is then possible to further group the ROs in a RACH slot by assigning a specific feature combination to them. As stated above, it is then important that the mapping to SSBs is maintained</w:t>
      </w:r>
      <w:r w:rsidR="00682C28">
        <w:t xml:space="preserve"> and coherent, and that legacy UEs cannot use the ROs associated to Rel-17 features.</w:t>
      </w:r>
    </w:p>
    <w:p w14:paraId="1099BE53" w14:textId="62A3E70C" w:rsidR="00682C28" w:rsidRDefault="00682C28" w:rsidP="0086230E">
      <w:pPr>
        <w:pStyle w:val="BodyText"/>
      </w:pPr>
      <w:r>
        <w:t xml:space="preserve">This means, firstly, that this method cannot be </w:t>
      </w:r>
      <w:r w:rsidR="0025480F">
        <w:t xml:space="preserve">applied to </w:t>
      </w:r>
      <w:r>
        <w:t>the legacy RACH configuration, as legacy UEs have no way to determine which ROs are meant for legacy access and which are not</w:t>
      </w:r>
      <w:r w:rsidR="00F15037">
        <w:t xml:space="preserve"> since this masking would be part of Rel-17 signalling.</w:t>
      </w:r>
    </w:p>
    <w:p w14:paraId="57EB223F" w14:textId="44E39ECB" w:rsidR="00682C28" w:rsidRDefault="00682C28" w:rsidP="00682C28">
      <w:pPr>
        <w:pStyle w:val="Proposal"/>
      </w:pPr>
      <w:bookmarkStart w:id="18" w:name="_Toc79076461"/>
      <w:r>
        <w:t>ROs in the legacy RACH configuration cannot be mapped to a Rel-17 feature combination</w:t>
      </w:r>
      <w:bookmarkEnd w:id="18"/>
    </w:p>
    <w:p w14:paraId="64CAEB19" w14:textId="6BD792D2" w:rsidR="00682C28" w:rsidRDefault="00682C28" w:rsidP="00682C28">
      <w:pPr>
        <w:pStyle w:val="BodyText"/>
      </w:pPr>
      <w:r>
        <w:t>This also means that in case analog beamforming is required (</w:t>
      </w:r>
      <w:r>
        <w:rPr>
          <w:i/>
          <w:iCs/>
        </w:rPr>
        <w:t>N&lt;1</w:t>
      </w:r>
      <w:r>
        <w:t>) and multiple SSBs are configured, it is not possible to have only a single RO mapped to a feature combination, otherwise only the UE located in a particular beam would be able to indicate the feature differently from the UE located elsewhere.</w:t>
      </w:r>
    </w:p>
    <w:p w14:paraId="4828638C" w14:textId="5DEBAC2C" w:rsidR="00682C28" w:rsidRDefault="00682C28" w:rsidP="00682C28">
      <w:pPr>
        <w:pStyle w:val="Observation"/>
      </w:pPr>
      <w:bookmarkStart w:id="19" w:name="_Toc79076470"/>
      <w:r>
        <w:t xml:space="preserve">Preambles defined through </w:t>
      </w:r>
      <w:r w:rsidR="00F15037">
        <w:t>a</w:t>
      </w:r>
      <w:r>
        <w:t xml:space="preserve"> separate RACH configuration can be further split by mapping its ROs to a specific feature combination</w:t>
      </w:r>
      <w:bookmarkEnd w:id="19"/>
    </w:p>
    <w:p w14:paraId="2CE09939" w14:textId="63617FE2" w:rsidR="00682C28" w:rsidRPr="008B3EA5" w:rsidRDefault="00682C28" w:rsidP="00B100D4">
      <w:pPr>
        <w:pStyle w:val="BodyText"/>
      </w:pPr>
      <w:r>
        <w:fldChar w:fldCharType="begin"/>
      </w:r>
      <w:r>
        <w:instrText xml:space="preserve"> REF _Ref75878012 \h </w:instrText>
      </w:r>
      <w:r>
        <w:fldChar w:fldCharType="separate"/>
      </w:r>
      <w:r w:rsidR="00B100D4">
        <w:t xml:space="preserve">Figure </w:t>
      </w:r>
      <w:r w:rsidR="00B100D4">
        <w:rPr>
          <w:noProof/>
        </w:rPr>
        <w:t>6</w:t>
      </w:r>
      <w:r>
        <w:fldChar w:fldCharType="end"/>
      </w:r>
      <w:r>
        <w:t xml:space="preserve"> show an example where a RACH configuration composed of 2x4 RACH </w:t>
      </w:r>
      <w:r w:rsidR="00A923F1">
        <w:t xml:space="preserve">occasions </w:t>
      </w:r>
      <w:r>
        <w:t>is further partitioned to account for RedCap and RedCap+SDT feature combinations. In the system 2 SSBs are configured and both the case of analog beamforming enabled (left) and disabled (right) are shown.</w:t>
      </w:r>
    </w:p>
    <w:p w14:paraId="582F34C3" w14:textId="77777777" w:rsidR="00682C28" w:rsidRDefault="00682C28" w:rsidP="00B100D4">
      <w:pPr>
        <w:pStyle w:val="BodyText"/>
        <w:keepNext/>
        <w:jc w:val="center"/>
      </w:pPr>
      <w:r>
        <w:rPr>
          <w:noProof/>
        </w:rPr>
        <w:lastRenderedPageBreak/>
        <w:drawing>
          <wp:inline distT="0" distB="0" distL="0" distR="0" wp14:anchorId="0763E5FD" wp14:editId="62358C9E">
            <wp:extent cx="6114415" cy="208153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4415" cy="2081530"/>
                    </a:xfrm>
                    <a:prstGeom prst="rect">
                      <a:avLst/>
                    </a:prstGeom>
                    <a:noFill/>
                    <a:ln>
                      <a:noFill/>
                    </a:ln>
                  </pic:spPr>
                </pic:pic>
              </a:graphicData>
            </a:graphic>
          </wp:inline>
        </w:drawing>
      </w:r>
    </w:p>
    <w:p w14:paraId="5727B7A4" w14:textId="41A62B89" w:rsidR="00682C28" w:rsidRDefault="00682C28" w:rsidP="00682C28">
      <w:pPr>
        <w:pStyle w:val="Caption"/>
        <w:jc w:val="center"/>
      </w:pPr>
      <w:bookmarkStart w:id="20" w:name="_Ref75878012"/>
      <w:r>
        <w:t xml:space="preserve">Figure </w:t>
      </w:r>
      <w:fldSimple w:instr=" SEQ Figure \* ARABIC ">
        <w:r w:rsidR="00B100D4">
          <w:rPr>
            <w:noProof/>
          </w:rPr>
          <w:t>6</w:t>
        </w:r>
      </w:fldSimple>
      <w:bookmarkEnd w:id="20"/>
      <w:r>
        <w:t>: Example of ROs mapping to feature combination with 2 SSB</w:t>
      </w:r>
      <w:r w:rsidR="00F15037">
        <w:t xml:space="preserve"> (different colours represent different SSBs, dark colours represents CBPR, light colours represents CFPR, Gray represents not available preambles)</w:t>
      </w:r>
    </w:p>
    <w:p w14:paraId="2B94098A" w14:textId="13A63AE0" w:rsidR="00682C28" w:rsidRPr="00B100D4" w:rsidRDefault="00682C28" w:rsidP="00B100D4">
      <w:pPr>
        <w:pStyle w:val="BodyText"/>
        <w:rPr>
          <w:b/>
          <w:bCs/>
        </w:rPr>
      </w:pPr>
      <w:r w:rsidRPr="00B100D4">
        <w:rPr>
          <w:b/>
          <w:bCs/>
        </w:rPr>
        <w:t>Further RACH partitioning:</w:t>
      </w:r>
    </w:p>
    <w:p w14:paraId="6B2D65AF" w14:textId="35900B14" w:rsidR="00682C28" w:rsidRDefault="009E6544">
      <w:pPr>
        <w:pStyle w:val="BodyText"/>
      </w:pPr>
      <w:r>
        <w:t>As mentioned beforehand, starting from a</w:t>
      </w:r>
      <w:r w:rsidR="00F15037">
        <w:t>n</w:t>
      </w:r>
      <w:r>
        <w:t xml:space="preserve"> already defined RACH configuration, or a specific RO if we consider the RO masking method, we have both CBPR associated with a default configuration (e.g.: inherited by the existing RACH configuration or RO configuration) and CFPRs. The latter ones can be split in further partitions and mapped to a different feature combination according to the backwards compatibility principles.</w:t>
      </w:r>
    </w:p>
    <w:p w14:paraId="55871595" w14:textId="38A27CA6" w:rsidR="00B31669" w:rsidRDefault="00B31669" w:rsidP="00B31669">
      <w:pPr>
        <w:pStyle w:val="BodyText"/>
      </w:pPr>
      <w:r>
        <w:t>These further partitions can be defined as consecutive after the legacy or previous one similarly to how it’s done for 2-step RACH. They also should be evenly distributed to the SSBs mapped to each specific RO (if more than 1). It should be noted that the new partition may be further partitioned into 4-step and 2-step RACH preambles and Group A and Group B preambles.</w:t>
      </w:r>
    </w:p>
    <w:p w14:paraId="011F0A7E" w14:textId="77777777" w:rsidR="009E6544" w:rsidRDefault="009E6544" w:rsidP="009E6544">
      <w:pPr>
        <w:pStyle w:val="BodyText"/>
      </w:pPr>
    </w:p>
    <w:p w14:paraId="32AC763E" w14:textId="15521F24" w:rsidR="009E6544" w:rsidRDefault="00B31669" w:rsidP="009E6544">
      <w:pPr>
        <w:pStyle w:val="BodyText"/>
        <w:jc w:val="center"/>
      </w:pPr>
      <w:r>
        <w:rPr>
          <w:noProof/>
        </w:rPr>
        <w:drawing>
          <wp:inline distT="0" distB="0" distL="0" distR="0" wp14:anchorId="79B93088" wp14:editId="016EDE48">
            <wp:extent cx="4264660" cy="2684780"/>
            <wp:effectExtent l="0" t="0" r="254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64660" cy="2684780"/>
                    </a:xfrm>
                    <a:prstGeom prst="rect">
                      <a:avLst/>
                    </a:prstGeom>
                    <a:noFill/>
                    <a:ln>
                      <a:noFill/>
                    </a:ln>
                  </pic:spPr>
                </pic:pic>
              </a:graphicData>
            </a:graphic>
          </wp:inline>
        </w:drawing>
      </w:r>
    </w:p>
    <w:p w14:paraId="1B7F9809" w14:textId="448ED74D" w:rsidR="00B31669" w:rsidRDefault="009E6544" w:rsidP="00B31669">
      <w:pPr>
        <w:pStyle w:val="Caption"/>
        <w:jc w:val="center"/>
      </w:pPr>
      <w:r>
        <w:t xml:space="preserve">Figure </w:t>
      </w:r>
      <w:fldSimple w:instr=" SEQ Figure \* ARABIC ">
        <w:r w:rsidR="00B100D4">
          <w:rPr>
            <w:noProof/>
          </w:rPr>
          <w:t>7</w:t>
        </w:r>
      </w:fldSimple>
      <w:r>
        <w:t xml:space="preserve">: Example of further preamble segmentation of an existing RO </w:t>
      </w:r>
      <w:r w:rsidR="00B31669">
        <w:t xml:space="preserve">to indicate a separate slice, </w:t>
      </w:r>
      <w:r>
        <w:t>with 2 SSBs</w:t>
      </w:r>
      <w:r w:rsidR="00B31669">
        <w:t xml:space="preserve"> per RO</w:t>
      </w:r>
      <w:r>
        <w:t>, shared RO for 2-step RACH and Group B enabled</w:t>
      </w:r>
    </w:p>
    <w:p w14:paraId="22596AD3" w14:textId="1C55B904" w:rsidR="00B31669" w:rsidRDefault="00B31669" w:rsidP="00B31669">
      <w:pPr>
        <w:pStyle w:val="BodyText"/>
      </w:pPr>
      <w:r>
        <w:t>It should be then up to the network to configure all the partitions to be coherent and to leave enough space for the CFPR that are anyway needed in the system.</w:t>
      </w:r>
    </w:p>
    <w:p w14:paraId="1FA78C1F" w14:textId="5187185F" w:rsidR="00B31669" w:rsidRPr="00B31669" w:rsidRDefault="00B31669" w:rsidP="00B31669">
      <w:pPr>
        <w:pStyle w:val="Observation"/>
      </w:pPr>
      <w:bookmarkStart w:id="21" w:name="_Toc79076471"/>
      <w:r>
        <w:t>An existing PRACH configuration (either the legacy one or new ones), or a masked RO can be further partitioned by allocating new preambles associated to a feature combination consecutively to the already present CBPR or a previous partition</w:t>
      </w:r>
      <w:bookmarkEnd w:id="21"/>
    </w:p>
    <w:p w14:paraId="0B784281" w14:textId="574A16D7" w:rsidR="00487D1C" w:rsidRDefault="00487D1C" w:rsidP="00487D1C">
      <w:pPr>
        <w:pStyle w:val="Heading2"/>
      </w:pPr>
      <w:r>
        <w:t>2.2</w:t>
      </w:r>
      <w:r>
        <w:tab/>
        <w:t>Overall Procedure</w:t>
      </w:r>
    </w:p>
    <w:p w14:paraId="302A33CF" w14:textId="505B1ABC" w:rsidR="00A8235E" w:rsidRDefault="00A8235E" w:rsidP="00A8235E">
      <w:pPr>
        <w:pStyle w:val="BodyText"/>
      </w:pPr>
      <w:r>
        <w:t>Other aspects of the RACH procedure have been discussed in the interested WI in the past meetings</w:t>
      </w:r>
      <w:r w:rsidR="00436AE8">
        <w:t>:</w:t>
      </w:r>
    </w:p>
    <w:p w14:paraId="0A7E49ED" w14:textId="49F62678" w:rsidR="00083F5F" w:rsidRDefault="00436AE8" w:rsidP="00B100D4">
      <w:pPr>
        <w:pStyle w:val="BodyText"/>
        <w:numPr>
          <w:ilvl w:val="0"/>
          <w:numId w:val="31"/>
        </w:numPr>
      </w:pPr>
      <w:r>
        <w:lastRenderedPageBreak/>
        <w:t>I</w:t>
      </w:r>
      <w:r w:rsidR="00A8235E">
        <w:t>n the e-mail discussion</w:t>
      </w:r>
      <w:r w:rsidR="00825B39">
        <w:t xml:space="preserve"> </w:t>
      </w:r>
      <w:r w:rsidR="00825B39">
        <w:fldChar w:fldCharType="begin"/>
      </w:r>
      <w:r w:rsidR="00825B39">
        <w:instrText xml:space="preserve"> REF _Ref78980448 \r \h </w:instrText>
      </w:r>
      <w:r w:rsidR="00825B39">
        <w:fldChar w:fldCharType="separate"/>
      </w:r>
      <w:r w:rsidR="00825B39">
        <w:t>[6]</w:t>
      </w:r>
      <w:r w:rsidR="00825B39">
        <w:fldChar w:fldCharType="end"/>
      </w:r>
      <w:r w:rsidR="00825B39">
        <w:t xml:space="preserve"> </w:t>
      </w:r>
      <w:r w:rsidR="00A8235E">
        <w:t>it is being discussed whether the UE should fallback from 4-step slice specific RACH to 4-step common RACH or from 2-step slice specific RACH to 4-step common RACH.</w:t>
      </w:r>
    </w:p>
    <w:p w14:paraId="5343D252" w14:textId="032EA742" w:rsidR="00A8235E" w:rsidRDefault="00083F5F" w:rsidP="00083F5F">
      <w:pPr>
        <w:pStyle w:val="BodyText"/>
        <w:numPr>
          <w:ilvl w:val="0"/>
          <w:numId w:val="31"/>
        </w:numPr>
      </w:pPr>
      <w:r>
        <w:t>F</w:t>
      </w:r>
      <w:r w:rsidR="00A8235E">
        <w:t>or Small Data</w:t>
      </w:r>
      <w:r>
        <w:t xml:space="preserve"> a discussion is</w:t>
      </w:r>
      <w:r w:rsidR="00825B39">
        <w:t xml:space="preserve"> being carried out</w:t>
      </w:r>
      <w:r w:rsidR="00634B35">
        <w:t xml:space="preserve"> about</w:t>
      </w:r>
      <w:r w:rsidR="00A8235E">
        <w:t xml:space="preserve"> whether the UE should be allowed to fallback from 2-step RA-SDT to 4-step legacy.</w:t>
      </w:r>
      <w:r w:rsidR="005B40DC">
        <w:t xml:space="preserve"> </w:t>
      </w:r>
      <w:r w:rsidR="00825B39">
        <w:fldChar w:fldCharType="begin"/>
      </w:r>
      <w:r w:rsidR="00825B39">
        <w:instrText xml:space="preserve"> REF _Ref75161746 \r \h </w:instrText>
      </w:r>
      <w:r w:rsidR="00825B39">
        <w:fldChar w:fldCharType="separate"/>
      </w:r>
      <w:r w:rsidR="00825B39">
        <w:t>[7]</w:t>
      </w:r>
      <w:r w:rsidR="00825B39">
        <w:fldChar w:fldCharType="end"/>
      </w:r>
    </w:p>
    <w:p w14:paraId="1B62970E" w14:textId="367CA437" w:rsidR="00634B35" w:rsidRDefault="00634B35" w:rsidP="00B100D4">
      <w:pPr>
        <w:pStyle w:val="BodyText"/>
        <w:numPr>
          <w:ilvl w:val="0"/>
          <w:numId w:val="31"/>
        </w:numPr>
      </w:pPr>
      <w:r>
        <w:t>In coverage enhancement, the</w:t>
      </w:r>
      <w:r w:rsidR="00B75398">
        <w:t xml:space="preserve"> working assumption is that</w:t>
      </w:r>
      <w:r w:rsidR="00BB294E">
        <w:t xml:space="preserve"> the RAR fields might be repurposed to indi</w:t>
      </w:r>
      <w:r w:rsidR="00302115">
        <w:t>cate</w:t>
      </w:r>
      <w:r w:rsidR="00D02819">
        <w:t xml:space="preserve"> that msg3 repetitions should be perfo</w:t>
      </w:r>
      <w:r w:rsidR="00951CC0">
        <w:t>r</w:t>
      </w:r>
      <w:r w:rsidR="00D02819">
        <w:t>med after having indicated that</w:t>
      </w:r>
      <w:r w:rsidR="00727721">
        <w:t xml:space="preserve"> Msg3 repetitions </w:t>
      </w:r>
      <w:r w:rsidR="0059099A">
        <w:t xml:space="preserve">have been requested. </w:t>
      </w:r>
      <w:r w:rsidR="00E47816" w:rsidRPr="00373A8D">
        <w:t>[</w:t>
      </w:r>
      <w:r w:rsidR="00373A8D" w:rsidRPr="00B100D4">
        <w:t>5</w:t>
      </w:r>
      <w:r w:rsidR="00E47816" w:rsidRPr="00373A8D">
        <w:t>]</w:t>
      </w:r>
    </w:p>
    <w:p w14:paraId="650A115B" w14:textId="0224015F" w:rsidR="00A8235E" w:rsidRDefault="00A8235E" w:rsidP="00A8235E">
      <w:pPr>
        <w:pStyle w:val="BodyText"/>
      </w:pPr>
      <w:r>
        <w:t xml:space="preserve">The objective should be to have a common procedure for all Rel-17 features from the specification point of view, and then describe small feature-specific variations if needed. Also, the introduction of changes in the standard that are common to multiple features should be discussed jointly. </w:t>
      </w:r>
    </w:p>
    <w:p w14:paraId="3A554319" w14:textId="461FD437" w:rsidR="00A8235E" w:rsidRDefault="00A8235E" w:rsidP="00A8235E">
      <w:pPr>
        <w:pStyle w:val="BodyText"/>
      </w:pPr>
      <w:r>
        <w:t>Taking as an example the aforementioned discussion, a fallback from 2-step “FeatureX” RACH to legacy 4-step RACH, if controlled by the network, would require a new format for an existing message (RAR, fallbackRAR) or a new message. If introduced, it would make sense to allow this fallback for all features, and if not introduced it should not be introduced for any Rel-17 feature.</w:t>
      </w:r>
    </w:p>
    <w:p w14:paraId="4E1D1440" w14:textId="5C180A31" w:rsidR="005B40DC" w:rsidRDefault="005B40DC" w:rsidP="00A8235E">
      <w:pPr>
        <w:pStyle w:val="BodyText"/>
      </w:pPr>
      <w:r>
        <w:t>Another example is the usage of different RSRP thresholds for the RA-type decision, multiple WIs are discussing to use different thresholds from the one</w:t>
      </w:r>
      <w:r w:rsidR="00000BB7">
        <w:t>s</w:t>
      </w:r>
      <w:r>
        <w:t xml:space="preserve"> already defined in legacy signalling.</w:t>
      </w:r>
    </w:p>
    <w:p w14:paraId="23154C60" w14:textId="232838BA" w:rsidR="00A8235E" w:rsidRDefault="005B40DC" w:rsidP="005B40DC">
      <w:pPr>
        <w:pStyle w:val="Observation"/>
      </w:pPr>
      <w:bookmarkStart w:id="22" w:name="_Toc79076472"/>
      <w:r>
        <w:t>It is beneficial to define a procedure shared for all features, with small feature-specific variations if needed</w:t>
      </w:r>
      <w:bookmarkEnd w:id="22"/>
    </w:p>
    <w:p w14:paraId="6D9DF40D" w14:textId="6D7F62D8" w:rsidR="00BC53AE" w:rsidRPr="008B3EA5" w:rsidRDefault="005B40DC" w:rsidP="00B100D4">
      <w:pPr>
        <w:pStyle w:val="Proposal"/>
      </w:pPr>
      <w:bookmarkStart w:id="23" w:name="_Toc79076462"/>
      <w:r>
        <w:t>RAN2 should discuss which aspects related to the procedure should be discussed and agreed jointly for all the interested features</w:t>
      </w:r>
      <w:bookmarkEnd w:id="23"/>
    </w:p>
    <w:p w14:paraId="24B87142" w14:textId="3240C76F" w:rsidR="00C01F33" w:rsidRPr="00CE0424" w:rsidRDefault="001B399C" w:rsidP="00CE0424">
      <w:pPr>
        <w:pStyle w:val="Heading1"/>
      </w:pPr>
      <w:r>
        <w:t xml:space="preserve">3 </w:t>
      </w:r>
      <w:r w:rsidR="00C01F33" w:rsidRPr="00CE0424">
        <w:t>Conclusion</w:t>
      </w:r>
    </w:p>
    <w:p w14:paraId="52DDA640" w14:textId="08D9671E"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300E606" w14:textId="77777777" w:rsidR="00665D7E" w:rsidRDefault="006F6582">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79076463" w:history="1">
        <w:r w:rsidR="00665D7E" w:rsidRPr="00502A96">
          <w:rPr>
            <w:rStyle w:val="Hyperlink"/>
            <w:noProof/>
          </w:rPr>
          <w:t>Observation 1</w:t>
        </w:r>
        <w:r w:rsidR="00665D7E">
          <w:rPr>
            <w:rFonts w:asciiTheme="minorHAnsi" w:eastAsiaTheme="minorEastAsia" w:hAnsiTheme="minorHAnsi" w:cstheme="minorBidi"/>
            <w:b w:val="0"/>
            <w:noProof/>
            <w:sz w:val="22"/>
            <w:szCs w:val="22"/>
          </w:rPr>
          <w:tab/>
        </w:r>
        <w:r w:rsidR="00665D7E" w:rsidRPr="00502A96">
          <w:rPr>
            <w:rStyle w:val="Hyperlink"/>
            <w:noProof/>
          </w:rPr>
          <w:t>RACH partitioning should generally be avoided, to reduce radio resource overhead/processing and to reduce specification complexity.</w:t>
        </w:r>
      </w:hyperlink>
    </w:p>
    <w:p w14:paraId="34856FF6" w14:textId="77777777" w:rsidR="00665D7E" w:rsidRDefault="00665D7E">
      <w:pPr>
        <w:pStyle w:val="TableofFigures"/>
        <w:tabs>
          <w:tab w:val="right" w:leader="dot" w:pos="9629"/>
        </w:tabs>
        <w:rPr>
          <w:rFonts w:asciiTheme="minorHAnsi" w:eastAsiaTheme="minorEastAsia" w:hAnsiTheme="minorHAnsi" w:cstheme="minorBidi"/>
          <w:b w:val="0"/>
          <w:noProof/>
          <w:sz w:val="22"/>
          <w:szCs w:val="22"/>
        </w:rPr>
      </w:pPr>
      <w:hyperlink w:anchor="_Toc79076464" w:history="1">
        <w:r w:rsidRPr="00502A96">
          <w:rPr>
            <w:rStyle w:val="Hyperlink"/>
            <w:noProof/>
          </w:rPr>
          <w:t>Observation 2</w:t>
        </w:r>
        <w:r>
          <w:rPr>
            <w:rFonts w:asciiTheme="minorHAnsi" w:eastAsiaTheme="minorEastAsia" w:hAnsiTheme="minorHAnsi" w:cstheme="minorBidi"/>
            <w:b w:val="0"/>
            <w:noProof/>
            <w:sz w:val="22"/>
            <w:szCs w:val="22"/>
          </w:rPr>
          <w:tab/>
        </w:r>
        <w:r w:rsidRPr="00502A96">
          <w:rPr>
            <w:rStyle w:val="Hyperlink"/>
            <w:noProof/>
          </w:rPr>
          <w:t>RACH partitioning is already used today for determining the SSB/beam association and for differentiating between 2-step and 4-step RA and between group A and B.</w:t>
        </w:r>
      </w:hyperlink>
    </w:p>
    <w:p w14:paraId="7E250CE6" w14:textId="77777777" w:rsidR="00665D7E" w:rsidRDefault="00665D7E">
      <w:pPr>
        <w:pStyle w:val="TableofFigures"/>
        <w:tabs>
          <w:tab w:val="right" w:leader="dot" w:pos="9629"/>
        </w:tabs>
        <w:rPr>
          <w:rFonts w:asciiTheme="minorHAnsi" w:eastAsiaTheme="minorEastAsia" w:hAnsiTheme="minorHAnsi" w:cstheme="minorBidi"/>
          <w:b w:val="0"/>
          <w:noProof/>
          <w:sz w:val="22"/>
          <w:szCs w:val="22"/>
        </w:rPr>
      </w:pPr>
      <w:hyperlink w:anchor="_Toc79076465" w:history="1">
        <w:r w:rsidRPr="00502A96">
          <w:rPr>
            <w:rStyle w:val="Hyperlink"/>
            <w:noProof/>
          </w:rPr>
          <w:t>Observation 3</w:t>
        </w:r>
        <w:r>
          <w:rPr>
            <w:rFonts w:asciiTheme="minorHAnsi" w:eastAsiaTheme="minorEastAsia" w:hAnsiTheme="minorHAnsi" w:cstheme="minorBidi"/>
            <w:b w:val="0"/>
            <w:noProof/>
            <w:sz w:val="22"/>
            <w:szCs w:val="22"/>
          </w:rPr>
          <w:tab/>
        </w:r>
        <w:r w:rsidRPr="00502A96">
          <w:rPr>
            <w:rStyle w:val="Hyperlink"/>
            <w:noProof/>
          </w:rPr>
          <w:t>In general, the number of preamble sets grows exponentially with the number of features.</w:t>
        </w:r>
      </w:hyperlink>
    </w:p>
    <w:p w14:paraId="6E6CE044" w14:textId="77777777" w:rsidR="00665D7E" w:rsidRDefault="00665D7E">
      <w:pPr>
        <w:pStyle w:val="TableofFigures"/>
        <w:tabs>
          <w:tab w:val="right" w:leader="dot" w:pos="9629"/>
        </w:tabs>
        <w:rPr>
          <w:rFonts w:asciiTheme="minorHAnsi" w:eastAsiaTheme="minorEastAsia" w:hAnsiTheme="minorHAnsi" w:cstheme="minorBidi"/>
          <w:b w:val="0"/>
          <w:noProof/>
          <w:sz w:val="22"/>
          <w:szCs w:val="22"/>
        </w:rPr>
      </w:pPr>
      <w:hyperlink w:anchor="_Toc79076466" w:history="1">
        <w:r w:rsidRPr="00502A96">
          <w:rPr>
            <w:rStyle w:val="Hyperlink"/>
            <w:noProof/>
          </w:rPr>
          <w:t>Observation 4</w:t>
        </w:r>
        <w:r>
          <w:rPr>
            <w:rFonts w:asciiTheme="minorHAnsi" w:eastAsiaTheme="minorEastAsia" w:hAnsiTheme="minorHAnsi" w:cstheme="minorBidi"/>
            <w:b w:val="0"/>
            <w:noProof/>
            <w:sz w:val="22"/>
            <w:szCs w:val="22"/>
          </w:rPr>
          <w:tab/>
        </w:r>
        <w:r w:rsidRPr="00502A96">
          <w:rPr>
            <w:rStyle w:val="Hyperlink"/>
            <w:noProof/>
          </w:rPr>
          <w:t>Some feature combinations can be excluded due to feature incompatibility.</w:t>
        </w:r>
      </w:hyperlink>
    </w:p>
    <w:p w14:paraId="61E495B3" w14:textId="77777777" w:rsidR="00665D7E" w:rsidRDefault="00665D7E">
      <w:pPr>
        <w:pStyle w:val="TableofFigures"/>
        <w:tabs>
          <w:tab w:val="right" w:leader="dot" w:pos="9629"/>
        </w:tabs>
        <w:rPr>
          <w:rFonts w:asciiTheme="minorHAnsi" w:eastAsiaTheme="minorEastAsia" w:hAnsiTheme="minorHAnsi" w:cstheme="minorBidi"/>
          <w:b w:val="0"/>
          <w:noProof/>
          <w:sz w:val="22"/>
          <w:szCs w:val="22"/>
        </w:rPr>
      </w:pPr>
      <w:hyperlink w:anchor="_Toc79076467" w:history="1">
        <w:r w:rsidRPr="00502A96">
          <w:rPr>
            <w:rStyle w:val="Hyperlink"/>
            <w:noProof/>
          </w:rPr>
          <w:t>Observation 5</w:t>
        </w:r>
        <w:r>
          <w:rPr>
            <w:rFonts w:asciiTheme="minorHAnsi" w:eastAsiaTheme="minorEastAsia" w:hAnsiTheme="minorHAnsi" w:cstheme="minorBidi"/>
            <w:b w:val="0"/>
            <w:noProof/>
            <w:sz w:val="22"/>
            <w:szCs w:val="22"/>
          </w:rPr>
          <w:tab/>
        </w:r>
        <w:r w:rsidRPr="00502A96">
          <w:rPr>
            <w:rStyle w:val="Hyperlink"/>
            <w:noProof/>
          </w:rPr>
          <w:t>In real deployment it is expected that only a subset of the features and feature combinations will be enabled.</w:t>
        </w:r>
      </w:hyperlink>
    </w:p>
    <w:p w14:paraId="194FDDC1" w14:textId="77777777" w:rsidR="00665D7E" w:rsidRDefault="00665D7E">
      <w:pPr>
        <w:pStyle w:val="TableofFigures"/>
        <w:tabs>
          <w:tab w:val="right" w:leader="dot" w:pos="9629"/>
        </w:tabs>
        <w:rPr>
          <w:rFonts w:asciiTheme="minorHAnsi" w:eastAsiaTheme="minorEastAsia" w:hAnsiTheme="minorHAnsi" w:cstheme="minorBidi"/>
          <w:b w:val="0"/>
          <w:noProof/>
          <w:sz w:val="22"/>
          <w:szCs w:val="22"/>
        </w:rPr>
      </w:pPr>
      <w:hyperlink w:anchor="_Toc79076468" w:history="1">
        <w:r w:rsidRPr="00502A96">
          <w:rPr>
            <w:rStyle w:val="Hyperlink"/>
            <w:noProof/>
          </w:rPr>
          <w:t>Observation 6</w:t>
        </w:r>
        <w:r>
          <w:rPr>
            <w:rFonts w:asciiTheme="minorHAnsi" w:eastAsiaTheme="minorEastAsia" w:hAnsiTheme="minorHAnsi" w:cstheme="minorBidi"/>
            <w:b w:val="0"/>
            <w:noProof/>
            <w:sz w:val="22"/>
            <w:szCs w:val="22"/>
          </w:rPr>
          <w:tab/>
        </w:r>
        <w:r w:rsidRPr="00502A96">
          <w:rPr>
            <w:rStyle w:val="Hyperlink"/>
            <w:noProof/>
          </w:rPr>
          <w:t>At most 32 preamble sets per SSB should be supported in Rel-17</w:t>
        </w:r>
      </w:hyperlink>
    </w:p>
    <w:p w14:paraId="27FAF3E8" w14:textId="77777777" w:rsidR="00665D7E" w:rsidRDefault="00665D7E">
      <w:pPr>
        <w:pStyle w:val="TableofFigures"/>
        <w:tabs>
          <w:tab w:val="right" w:leader="dot" w:pos="9629"/>
        </w:tabs>
        <w:rPr>
          <w:rFonts w:asciiTheme="minorHAnsi" w:eastAsiaTheme="minorEastAsia" w:hAnsiTheme="minorHAnsi" w:cstheme="minorBidi"/>
          <w:b w:val="0"/>
          <w:noProof/>
          <w:sz w:val="22"/>
          <w:szCs w:val="22"/>
        </w:rPr>
      </w:pPr>
      <w:hyperlink w:anchor="_Toc79076469" w:history="1">
        <w:r w:rsidRPr="00502A96">
          <w:rPr>
            <w:rStyle w:val="Hyperlink"/>
            <w:noProof/>
            <w:lang w:eastAsia="en-GB"/>
          </w:rPr>
          <w:t>Observation 7</w:t>
        </w:r>
        <w:r>
          <w:rPr>
            <w:rFonts w:asciiTheme="minorHAnsi" w:eastAsiaTheme="minorEastAsia" w:hAnsiTheme="minorHAnsi" w:cstheme="minorBidi"/>
            <w:b w:val="0"/>
            <w:noProof/>
            <w:sz w:val="22"/>
            <w:szCs w:val="22"/>
          </w:rPr>
          <w:tab/>
        </w:r>
        <w:r w:rsidRPr="00502A96">
          <w:rPr>
            <w:rStyle w:val="Hyperlink"/>
            <w:noProof/>
            <w:lang w:eastAsia="en-GB"/>
          </w:rPr>
          <w:t>New preambles associated with a specific feature combination may be created by defining a separate RACH configuration</w:t>
        </w:r>
      </w:hyperlink>
    </w:p>
    <w:p w14:paraId="616BC6FF" w14:textId="77777777" w:rsidR="00665D7E" w:rsidRDefault="00665D7E">
      <w:pPr>
        <w:pStyle w:val="TableofFigures"/>
        <w:tabs>
          <w:tab w:val="right" w:leader="dot" w:pos="9629"/>
        </w:tabs>
        <w:rPr>
          <w:rFonts w:asciiTheme="minorHAnsi" w:eastAsiaTheme="minorEastAsia" w:hAnsiTheme="minorHAnsi" w:cstheme="minorBidi"/>
          <w:b w:val="0"/>
          <w:noProof/>
          <w:sz w:val="22"/>
          <w:szCs w:val="22"/>
        </w:rPr>
      </w:pPr>
      <w:hyperlink w:anchor="_Toc79076470" w:history="1">
        <w:r w:rsidRPr="00502A96">
          <w:rPr>
            <w:rStyle w:val="Hyperlink"/>
            <w:noProof/>
          </w:rPr>
          <w:t>Observation 8</w:t>
        </w:r>
        <w:r>
          <w:rPr>
            <w:rFonts w:asciiTheme="minorHAnsi" w:eastAsiaTheme="minorEastAsia" w:hAnsiTheme="minorHAnsi" w:cstheme="minorBidi"/>
            <w:b w:val="0"/>
            <w:noProof/>
            <w:sz w:val="22"/>
            <w:szCs w:val="22"/>
          </w:rPr>
          <w:tab/>
        </w:r>
        <w:r w:rsidRPr="00502A96">
          <w:rPr>
            <w:rStyle w:val="Hyperlink"/>
            <w:noProof/>
          </w:rPr>
          <w:t>Preambles defined through a separate RACH configuration can be further split by mapping its ROs to a specific feature combination</w:t>
        </w:r>
      </w:hyperlink>
    </w:p>
    <w:p w14:paraId="7EBE1BEB" w14:textId="77777777" w:rsidR="00665D7E" w:rsidRDefault="00665D7E">
      <w:pPr>
        <w:pStyle w:val="TableofFigures"/>
        <w:tabs>
          <w:tab w:val="right" w:leader="dot" w:pos="9629"/>
        </w:tabs>
        <w:rPr>
          <w:rFonts w:asciiTheme="minorHAnsi" w:eastAsiaTheme="minorEastAsia" w:hAnsiTheme="minorHAnsi" w:cstheme="minorBidi"/>
          <w:b w:val="0"/>
          <w:noProof/>
          <w:sz w:val="22"/>
          <w:szCs w:val="22"/>
        </w:rPr>
      </w:pPr>
      <w:hyperlink w:anchor="_Toc79076471" w:history="1">
        <w:r w:rsidRPr="00502A96">
          <w:rPr>
            <w:rStyle w:val="Hyperlink"/>
            <w:noProof/>
          </w:rPr>
          <w:t>Observation 9</w:t>
        </w:r>
        <w:r>
          <w:rPr>
            <w:rFonts w:asciiTheme="minorHAnsi" w:eastAsiaTheme="minorEastAsia" w:hAnsiTheme="minorHAnsi" w:cstheme="minorBidi"/>
            <w:b w:val="0"/>
            <w:noProof/>
            <w:sz w:val="22"/>
            <w:szCs w:val="22"/>
          </w:rPr>
          <w:tab/>
        </w:r>
        <w:r w:rsidRPr="00502A96">
          <w:rPr>
            <w:rStyle w:val="Hyperlink"/>
            <w:noProof/>
          </w:rPr>
          <w:t>An existing PRACH configuration (either the legacy one or new ones), or a masked RO can be further partitioned by allocating new preambles associated to a feature combination consecutively to the already present CBPR or a previous partition</w:t>
        </w:r>
      </w:hyperlink>
    </w:p>
    <w:p w14:paraId="5E420D2A" w14:textId="77777777" w:rsidR="00665D7E" w:rsidRDefault="00665D7E">
      <w:pPr>
        <w:pStyle w:val="TableofFigures"/>
        <w:tabs>
          <w:tab w:val="right" w:leader="dot" w:pos="9629"/>
        </w:tabs>
        <w:rPr>
          <w:rFonts w:asciiTheme="minorHAnsi" w:eastAsiaTheme="minorEastAsia" w:hAnsiTheme="minorHAnsi" w:cstheme="minorBidi"/>
          <w:b w:val="0"/>
          <w:noProof/>
          <w:sz w:val="22"/>
          <w:szCs w:val="22"/>
        </w:rPr>
      </w:pPr>
      <w:hyperlink w:anchor="_Toc79076472" w:history="1">
        <w:r w:rsidRPr="00502A96">
          <w:rPr>
            <w:rStyle w:val="Hyperlink"/>
            <w:noProof/>
          </w:rPr>
          <w:t>Observation 10</w:t>
        </w:r>
        <w:r>
          <w:rPr>
            <w:rFonts w:asciiTheme="minorHAnsi" w:eastAsiaTheme="minorEastAsia" w:hAnsiTheme="minorHAnsi" w:cstheme="minorBidi"/>
            <w:b w:val="0"/>
            <w:noProof/>
            <w:sz w:val="22"/>
            <w:szCs w:val="22"/>
          </w:rPr>
          <w:tab/>
        </w:r>
        <w:r w:rsidRPr="00502A96">
          <w:rPr>
            <w:rStyle w:val="Hyperlink"/>
            <w:noProof/>
          </w:rPr>
          <w:t>It is beneficial to define a procedure shared for all features, with small feature-specific variations if needed</w:t>
        </w:r>
      </w:hyperlink>
    </w:p>
    <w:p w14:paraId="556A3D54" w14:textId="776DDD06" w:rsidR="006E1C82" w:rsidRDefault="006F6582" w:rsidP="008E065E">
      <w:pPr>
        <w:pStyle w:val="BodyText"/>
        <w:rPr>
          <w:b/>
          <w:bCs/>
        </w:rPr>
      </w:pPr>
      <w:r>
        <w:rPr>
          <w:b/>
          <w:bCs/>
        </w:rPr>
        <w:fldChar w:fldCharType="end"/>
      </w:r>
    </w:p>
    <w:p w14:paraId="3C066E42" w14:textId="60A766DC"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4649E9E" w14:textId="77777777" w:rsidR="00665D7E" w:rsidRDefault="00F15037">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Cs/>
          <w:lang w:val="en-US"/>
        </w:rPr>
        <w:instrText xml:space="preserve"> TOC \n \h \z \t "Proposal" \c </w:instrText>
      </w:r>
      <w:r>
        <w:rPr>
          <w:b w:val="0"/>
          <w:bCs/>
          <w:lang w:val="en-US"/>
        </w:rPr>
        <w:fldChar w:fldCharType="separate"/>
      </w:r>
      <w:hyperlink w:anchor="_Toc79076453" w:history="1">
        <w:r w:rsidR="00665D7E" w:rsidRPr="00AB2B71">
          <w:rPr>
            <w:rStyle w:val="Hyperlink"/>
            <w:noProof/>
          </w:rPr>
          <w:t>Proposal 1</w:t>
        </w:r>
        <w:r w:rsidR="00665D7E">
          <w:rPr>
            <w:rFonts w:asciiTheme="minorHAnsi" w:eastAsiaTheme="minorEastAsia" w:hAnsiTheme="minorHAnsi" w:cstheme="minorBidi"/>
            <w:b w:val="0"/>
            <w:noProof/>
            <w:sz w:val="22"/>
            <w:szCs w:val="22"/>
          </w:rPr>
          <w:tab/>
        </w:r>
        <w:r w:rsidR="00665D7E" w:rsidRPr="00AB2B71">
          <w:rPr>
            <w:rStyle w:val="Hyperlink"/>
            <w:noProof/>
          </w:rPr>
          <w:t>Only considering binary (on/off) features will reduce the number of preamble sets.</w:t>
        </w:r>
      </w:hyperlink>
    </w:p>
    <w:p w14:paraId="6325DDF3" w14:textId="77777777" w:rsidR="00665D7E" w:rsidRDefault="00665D7E">
      <w:pPr>
        <w:pStyle w:val="TableofFigures"/>
        <w:tabs>
          <w:tab w:val="right" w:leader="dot" w:pos="9629"/>
        </w:tabs>
        <w:rPr>
          <w:rFonts w:asciiTheme="minorHAnsi" w:eastAsiaTheme="minorEastAsia" w:hAnsiTheme="minorHAnsi" w:cstheme="minorBidi"/>
          <w:b w:val="0"/>
          <w:noProof/>
          <w:sz w:val="22"/>
          <w:szCs w:val="22"/>
        </w:rPr>
      </w:pPr>
      <w:hyperlink w:anchor="_Toc79076454" w:history="1">
        <w:r w:rsidRPr="00AB2B71">
          <w:rPr>
            <w:rStyle w:val="Hyperlink"/>
            <w:noProof/>
          </w:rPr>
          <w:t>Proposal 2</w:t>
        </w:r>
        <w:r>
          <w:rPr>
            <w:rFonts w:asciiTheme="minorHAnsi" w:eastAsiaTheme="minorEastAsia" w:hAnsiTheme="minorHAnsi" w:cstheme="minorBidi"/>
            <w:b w:val="0"/>
            <w:noProof/>
            <w:sz w:val="22"/>
            <w:szCs w:val="22"/>
          </w:rPr>
          <w:tab/>
        </w:r>
        <w:r w:rsidRPr="00AB2B71">
          <w:rPr>
            <w:rStyle w:val="Hyperlink"/>
            <w:noProof/>
          </w:rPr>
          <w:t>Each new preamble set should be defined on a feature combination basis</w:t>
        </w:r>
      </w:hyperlink>
    </w:p>
    <w:p w14:paraId="3EC0A937" w14:textId="77777777" w:rsidR="00665D7E" w:rsidRDefault="00665D7E">
      <w:pPr>
        <w:pStyle w:val="TableofFigures"/>
        <w:tabs>
          <w:tab w:val="right" w:leader="dot" w:pos="9629"/>
        </w:tabs>
        <w:rPr>
          <w:rFonts w:asciiTheme="minorHAnsi" w:eastAsiaTheme="minorEastAsia" w:hAnsiTheme="minorHAnsi" w:cstheme="minorBidi"/>
          <w:b w:val="0"/>
          <w:noProof/>
          <w:sz w:val="22"/>
          <w:szCs w:val="22"/>
        </w:rPr>
      </w:pPr>
      <w:hyperlink w:anchor="_Toc79076455" w:history="1">
        <w:r w:rsidRPr="00AB2B71">
          <w:rPr>
            <w:rStyle w:val="Hyperlink"/>
            <w:noProof/>
          </w:rPr>
          <w:t>Proposal 3</w:t>
        </w:r>
        <w:r>
          <w:rPr>
            <w:rFonts w:asciiTheme="minorHAnsi" w:eastAsiaTheme="minorEastAsia" w:hAnsiTheme="minorHAnsi" w:cstheme="minorBidi"/>
            <w:b w:val="0"/>
            <w:noProof/>
            <w:sz w:val="22"/>
            <w:szCs w:val="22"/>
          </w:rPr>
          <w:tab/>
        </w:r>
        <w:r w:rsidRPr="00AB2B71">
          <w:rPr>
            <w:rStyle w:val="Hyperlink"/>
            <w:noProof/>
          </w:rPr>
          <w:t>Preambles associated with a Rel-17 feature should never be randomly chosen by legacy UEs</w:t>
        </w:r>
      </w:hyperlink>
    </w:p>
    <w:p w14:paraId="00287914" w14:textId="77777777" w:rsidR="00665D7E" w:rsidRDefault="00665D7E">
      <w:pPr>
        <w:pStyle w:val="TableofFigures"/>
        <w:tabs>
          <w:tab w:val="right" w:leader="dot" w:pos="9629"/>
        </w:tabs>
        <w:rPr>
          <w:rFonts w:asciiTheme="minorHAnsi" w:eastAsiaTheme="minorEastAsia" w:hAnsiTheme="minorHAnsi" w:cstheme="minorBidi"/>
          <w:b w:val="0"/>
          <w:noProof/>
          <w:sz w:val="22"/>
          <w:szCs w:val="22"/>
        </w:rPr>
      </w:pPr>
      <w:hyperlink w:anchor="_Toc79076456" w:history="1">
        <w:r w:rsidRPr="00AB2B71">
          <w:rPr>
            <w:rStyle w:val="Hyperlink"/>
            <w:noProof/>
          </w:rPr>
          <w:t>Proposal 4</w:t>
        </w:r>
        <w:r>
          <w:rPr>
            <w:rFonts w:asciiTheme="minorHAnsi" w:eastAsiaTheme="minorEastAsia" w:hAnsiTheme="minorHAnsi" w:cstheme="minorBidi"/>
            <w:b w:val="0"/>
            <w:noProof/>
            <w:sz w:val="22"/>
            <w:szCs w:val="22"/>
          </w:rPr>
          <w:tab/>
        </w:r>
        <w:r w:rsidRPr="00AB2B71">
          <w:rPr>
            <w:rStyle w:val="Hyperlink"/>
            <w:noProof/>
          </w:rPr>
          <w:t>New feature specific preambles should be defined in</w:t>
        </w:r>
      </w:hyperlink>
    </w:p>
    <w:p w14:paraId="2BB99C6E" w14:textId="77777777" w:rsidR="00665D7E" w:rsidRDefault="00665D7E">
      <w:pPr>
        <w:pStyle w:val="TableofFigures"/>
        <w:tabs>
          <w:tab w:val="right" w:leader="dot" w:pos="9629"/>
        </w:tabs>
        <w:rPr>
          <w:rFonts w:asciiTheme="minorHAnsi" w:eastAsiaTheme="minorEastAsia" w:hAnsiTheme="minorHAnsi" w:cstheme="minorBidi"/>
          <w:b w:val="0"/>
          <w:noProof/>
          <w:sz w:val="22"/>
          <w:szCs w:val="22"/>
        </w:rPr>
      </w:pPr>
      <w:hyperlink w:anchor="_Toc79076457" w:history="1">
        <w:r w:rsidRPr="00AB2B71">
          <w:rPr>
            <w:rStyle w:val="Hyperlink"/>
            <w:noProof/>
          </w:rPr>
          <w:t>a.</w:t>
        </w:r>
        <w:r>
          <w:rPr>
            <w:rFonts w:asciiTheme="minorHAnsi" w:eastAsiaTheme="minorEastAsia" w:hAnsiTheme="minorHAnsi" w:cstheme="minorBidi"/>
            <w:b w:val="0"/>
            <w:noProof/>
            <w:sz w:val="22"/>
            <w:szCs w:val="22"/>
          </w:rPr>
          <w:tab/>
        </w:r>
        <w:r w:rsidRPr="00AB2B71">
          <w:rPr>
            <w:rStyle w:val="Hyperlink"/>
            <w:noProof/>
          </w:rPr>
          <w:t>Separate time-frequency resources, not defined through legacy RRC signalling</w:t>
        </w:r>
      </w:hyperlink>
    </w:p>
    <w:p w14:paraId="0AB2E93B" w14:textId="77777777" w:rsidR="00665D7E" w:rsidRDefault="00665D7E">
      <w:pPr>
        <w:pStyle w:val="TableofFigures"/>
        <w:tabs>
          <w:tab w:val="right" w:leader="dot" w:pos="9629"/>
        </w:tabs>
        <w:rPr>
          <w:rFonts w:asciiTheme="minorHAnsi" w:eastAsiaTheme="minorEastAsia" w:hAnsiTheme="minorHAnsi" w:cstheme="minorBidi"/>
          <w:b w:val="0"/>
          <w:noProof/>
          <w:sz w:val="22"/>
          <w:szCs w:val="22"/>
        </w:rPr>
      </w:pPr>
      <w:hyperlink w:anchor="_Toc79076458" w:history="1">
        <w:r w:rsidRPr="00AB2B71">
          <w:rPr>
            <w:rStyle w:val="Hyperlink"/>
            <w:noProof/>
          </w:rPr>
          <w:t>b.</w:t>
        </w:r>
        <w:r>
          <w:rPr>
            <w:rFonts w:asciiTheme="minorHAnsi" w:eastAsiaTheme="minorEastAsia" w:hAnsiTheme="minorHAnsi" w:cstheme="minorBidi"/>
            <w:b w:val="0"/>
            <w:noProof/>
            <w:sz w:val="22"/>
            <w:szCs w:val="22"/>
          </w:rPr>
          <w:tab/>
        </w:r>
        <w:r w:rsidRPr="00AB2B71">
          <w:rPr>
            <w:rStyle w:val="Hyperlink"/>
            <w:noProof/>
          </w:rPr>
          <w:t>Within the CFPRs defined through legacy RRC signalling</w:t>
        </w:r>
      </w:hyperlink>
    </w:p>
    <w:p w14:paraId="0CAA1FF4" w14:textId="77777777" w:rsidR="00665D7E" w:rsidRDefault="00665D7E">
      <w:pPr>
        <w:pStyle w:val="TableofFigures"/>
        <w:tabs>
          <w:tab w:val="right" w:leader="dot" w:pos="9629"/>
        </w:tabs>
        <w:rPr>
          <w:rFonts w:asciiTheme="minorHAnsi" w:eastAsiaTheme="minorEastAsia" w:hAnsiTheme="minorHAnsi" w:cstheme="minorBidi"/>
          <w:b w:val="0"/>
          <w:noProof/>
          <w:sz w:val="22"/>
          <w:szCs w:val="22"/>
        </w:rPr>
      </w:pPr>
      <w:hyperlink w:anchor="_Toc79076459" w:history="1">
        <w:r w:rsidRPr="00AB2B71">
          <w:rPr>
            <w:rStyle w:val="Hyperlink"/>
            <w:noProof/>
          </w:rPr>
          <w:t>c.</w:t>
        </w:r>
        <w:r>
          <w:rPr>
            <w:rFonts w:asciiTheme="minorHAnsi" w:eastAsiaTheme="minorEastAsia" w:hAnsiTheme="minorHAnsi" w:cstheme="minorBidi"/>
            <w:b w:val="0"/>
            <w:noProof/>
            <w:sz w:val="22"/>
            <w:szCs w:val="22"/>
          </w:rPr>
          <w:tab/>
        </w:r>
        <w:r w:rsidRPr="00AB2B71">
          <w:rPr>
            <w:rStyle w:val="Hyperlink"/>
            <w:noProof/>
          </w:rPr>
          <w:t xml:space="preserve">Within the “not available” preambles defined at the end of a RO through the legacy  </w:t>
        </w:r>
        <w:r w:rsidRPr="00AB2B71">
          <w:rPr>
            <w:rStyle w:val="Hyperlink"/>
            <w:i/>
            <w:iCs/>
            <w:noProof/>
          </w:rPr>
          <w:t>totalNumberOfRA-Preambles</w:t>
        </w:r>
      </w:hyperlink>
    </w:p>
    <w:p w14:paraId="75988ADC" w14:textId="77777777" w:rsidR="00665D7E" w:rsidRDefault="00665D7E">
      <w:pPr>
        <w:pStyle w:val="TableofFigures"/>
        <w:tabs>
          <w:tab w:val="right" w:leader="dot" w:pos="9629"/>
        </w:tabs>
        <w:rPr>
          <w:rFonts w:asciiTheme="minorHAnsi" w:eastAsiaTheme="minorEastAsia" w:hAnsiTheme="minorHAnsi" w:cstheme="minorBidi"/>
          <w:b w:val="0"/>
          <w:noProof/>
          <w:sz w:val="22"/>
          <w:szCs w:val="22"/>
        </w:rPr>
      </w:pPr>
      <w:hyperlink w:anchor="_Toc79076460" w:history="1">
        <w:r w:rsidRPr="00AB2B71">
          <w:rPr>
            <w:rStyle w:val="Hyperlink"/>
            <w:noProof/>
          </w:rPr>
          <w:t>Proposal 5</w:t>
        </w:r>
        <w:r>
          <w:rPr>
            <w:rFonts w:asciiTheme="minorHAnsi" w:eastAsiaTheme="minorEastAsia" w:hAnsiTheme="minorHAnsi" w:cstheme="minorBidi"/>
            <w:b w:val="0"/>
            <w:noProof/>
            <w:sz w:val="22"/>
            <w:szCs w:val="22"/>
          </w:rPr>
          <w:tab/>
        </w:r>
        <w:r w:rsidRPr="00AB2B71">
          <w:rPr>
            <w:rStyle w:val="Hyperlink"/>
            <w:noProof/>
          </w:rPr>
          <w:t>New preambles should be evenly distributed among the configured SSB using the same mapping as legacy. In particular if analog beamforming is used, at any time all defined ROs should be mapped to the same SSB</w:t>
        </w:r>
      </w:hyperlink>
    </w:p>
    <w:p w14:paraId="7814151A" w14:textId="77777777" w:rsidR="00665D7E" w:rsidRDefault="00665D7E">
      <w:pPr>
        <w:pStyle w:val="TableofFigures"/>
        <w:tabs>
          <w:tab w:val="right" w:leader="dot" w:pos="9629"/>
        </w:tabs>
        <w:rPr>
          <w:rFonts w:asciiTheme="minorHAnsi" w:eastAsiaTheme="minorEastAsia" w:hAnsiTheme="minorHAnsi" w:cstheme="minorBidi"/>
          <w:b w:val="0"/>
          <w:noProof/>
          <w:sz w:val="22"/>
          <w:szCs w:val="22"/>
        </w:rPr>
      </w:pPr>
      <w:hyperlink w:anchor="_Toc79076461" w:history="1">
        <w:r w:rsidRPr="00AB2B71">
          <w:rPr>
            <w:rStyle w:val="Hyperlink"/>
            <w:noProof/>
          </w:rPr>
          <w:t>Proposal 6</w:t>
        </w:r>
        <w:r>
          <w:rPr>
            <w:rFonts w:asciiTheme="minorHAnsi" w:eastAsiaTheme="minorEastAsia" w:hAnsiTheme="minorHAnsi" w:cstheme="minorBidi"/>
            <w:b w:val="0"/>
            <w:noProof/>
            <w:sz w:val="22"/>
            <w:szCs w:val="22"/>
          </w:rPr>
          <w:tab/>
        </w:r>
        <w:r w:rsidRPr="00AB2B71">
          <w:rPr>
            <w:rStyle w:val="Hyperlink"/>
            <w:noProof/>
          </w:rPr>
          <w:t>ROs in the legacy RACH configuration cannot be mapped to a Rel-17 feature combination</w:t>
        </w:r>
      </w:hyperlink>
    </w:p>
    <w:p w14:paraId="357A77F6" w14:textId="77777777" w:rsidR="00665D7E" w:rsidRDefault="00665D7E">
      <w:pPr>
        <w:pStyle w:val="TableofFigures"/>
        <w:tabs>
          <w:tab w:val="right" w:leader="dot" w:pos="9629"/>
        </w:tabs>
        <w:rPr>
          <w:rFonts w:asciiTheme="minorHAnsi" w:eastAsiaTheme="minorEastAsia" w:hAnsiTheme="minorHAnsi" w:cstheme="minorBidi"/>
          <w:b w:val="0"/>
          <w:noProof/>
          <w:sz w:val="22"/>
          <w:szCs w:val="22"/>
        </w:rPr>
      </w:pPr>
      <w:hyperlink w:anchor="_Toc79076462" w:history="1">
        <w:r w:rsidRPr="00AB2B71">
          <w:rPr>
            <w:rStyle w:val="Hyperlink"/>
            <w:noProof/>
          </w:rPr>
          <w:t>Proposal 7</w:t>
        </w:r>
        <w:r>
          <w:rPr>
            <w:rFonts w:asciiTheme="minorHAnsi" w:eastAsiaTheme="minorEastAsia" w:hAnsiTheme="minorHAnsi" w:cstheme="minorBidi"/>
            <w:b w:val="0"/>
            <w:noProof/>
            <w:sz w:val="22"/>
            <w:szCs w:val="22"/>
          </w:rPr>
          <w:tab/>
        </w:r>
        <w:r w:rsidRPr="00AB2B71">
          <w:rPr>
            <w:rStyle w:val="Hyperlink"/>
            <w:noProof/>
          </w:rPr>
          <w:t>RAN2 should discuss which aspects related to the procedure should be discussed and agreed jointly for all the interested features</w:t>
        </w:r>
      </w:hyperlink>
    </w:p>
    <w:p w14:paraId="263C529E" w14:textId="5EA2EFE0" w:rsidR="009353FB" w:rsidRPr="00A04F49" w:rsidRDefault="00F15037" w:rsidP="00B100D4">
      <w:pPr>
        <w:pStyle w:val="BodyText"/>
      </w:pPr>
      <w:r>
        <w:rPr>
          <w:b/>
          <w:bCs/>
          <w:lang w:val="en-US"/>
        </w:rPr>
        <w:fldChar w:fldCharType="end"/>
      </w:r>
      <w:r w:rsidRPr="00CE0424">
        <w:rPr>
          <w:b/>
          <w:bCs/>
        </w:rPr>
        <w:t xml:space="preserve"> </w:t>
      </w:r>
    </w:p>
    <w:p w14:paraId="57DE93BB" w14:textId="77777777" w:rsidR="00C01F33" w:rsidRPr="00CE0424" w:rsidRDefault="00C01F33" w:rsidP="006E062C"/>
    <w:p w14:paraId="10D64979" w14:textId="153953F3" w:rsidR="00F507D1" w:rsidRPr="00CE0424" w:rsidRDefault="00F507D1" w:rsidP="00CE0424">
      <w:pPr>
        <w:pStyle w:val="Heading1"/>
      </w:pPr>
      <w:bookmarkStart w:id="24" w:name="_In-sequence_SDU_delivery"/>
      <w:bookmarkEnd w:id="24"/>
      <w:r w:rsidRPr="00CE0424">
        <w:t>References</w:t>
      </w:r>
    </w:p>
    <w:bookmarkStart w:id="25" w:name="_Ref70945771"/>
    <w:bookmarkStart w:id="26" w:name="_Ref174151459"/>
    <w:bookmarkStart w:id="27" w:name="_Ref189809556"/>
    <w:p w14:paraId="07CD66F3" w14:textId="633D8F4F" w:rsidR="005F3025" w:rsidRPr="00CE0424" w:rsidRDefault="001935C7" w:rsidP="00311702">
      <w:pPr>
        <w:pStyle w:val="Reference"/>
      </w:pPr>
      <w:r>
        <w:fldChar w:fldCharType="begin"/>
      </w:r>
      <w:r>
        <w:instrText xml:space="preserve"> HYPERLINK "https://www.3gpp.org/ftp/tsg_ran/TSG_RAN/TSGR_91e/Docs/RP-210918.zip" </w:instrText>
      </w:r>
      <w:r>
        <w:fldChar w:fldCharType="separate"/>
      </w:r>
      <w:r w:rsidR="008274AD" w:rsidRPr="001935C7">
        <w:rPr>
          <w:rStyle w:val="Hyperlink"/>
        </w:rPr>
        <w:t>RP-210918</w:t>
      </w:r>
      <w:r>
        <w:fldChar w:fldCharType="end"/>
      </w:r>
      <w:r w:rsidR="008274AD">
        <w:t xml:space="preserve">, </w:t>
      </w:r>
      <w:r w:rsidR="0067694E">
        <w:t>“</w:t>
      </w:r>
      <w:r w:rsidR="008274AD">
        <w:t>Revised WID on s</w:t>
      </w:r>
      <w:r w:rsidR="008274AD" w:rsidRPr="008274AD">
        <w:t>upport of reduced capability NR devices</w:t>
      </w:r>
      <w:r w:rsidR="0067694E">
        <w:t>”</w:t>
      </w:r>
      <w:r w:rsidR="00BD1C7F">
        <w:t>, RAN#91-e</w:t>
      </w:r>
      <w:bookmarkEnd w:id="25"/>
    </w:p>
    <w:bookmarkStart w:id="28" w:name="_Ref70945783"/>
    <w:p w14:paraId="6DF33065" w14:textId="37B1F914" w:rsidR="005F3025" w:rsidRDefault="001935C7" w:rsidP="00311702">
      <w:pPr>
        <w:pStyle w:val="Reference"/>
      </w:pPr>
      <w:r>
        <w:fldChar w:fldCharType="begin"/>
      </w:r>
      <w:r>
        <w:instrText xml:space="preserve"> HYPERLINK "https://www.3gpp.org/ftp/tsg_ran/TSG_RAN/TSGR_91e/Docs/RP-210870.zip" </w:instrText>
      </w:r>
      <w:r>
        <w:fldChar w:fldCharType="separate"/>
      </w:r>
      <w:r w:rsidR="008274AD" w:rsidRPr="001935C7">
        <w:rPr>
          <w:rStyle w:val="Hyperlink"/>
        </w:rPr>
        <w:t>RP-210870</w:t>
      </w:r>
      <w:r>
        <w:fldChar w:fldCharType="end"/>
      </w:r>
      <w:r w:rsidR="008274AD">
        <w:t xml:space="preserve">, </w:t>
      </w:r>
      <w:r w:rsidR="0067694E">
        <w:t>“</w:t>
      </w:r>
      <w:r w:rsidR="008274AD">
        <w:t>WI on</w:t>
      </w:r>
      <w:r w:rsidR="008274AD" w:rsidRPr="008274AD">
        <w:t xml:space="preserve"> small</w:t>
      </w:r>
      <w:r w:rsidR="008274AD">
        <w:t xml:space="preserve"> </w:t>
      </w:r>
      <w:r w:rsidR="008274AD" w:rsidRPr="008274AD">
        <w:t>data transmissions in INACTIVE state</w:t>
      </w:r>
      <w:r w:rsidR="0067694E">
        <w:t>”</w:t>
      </w:r>
      <w:r w:rsidR="00BD1C7F">
        <w:t>,</w:t>
      </w:r>
      <w:r w:rsidR="00BD1C7F" w:rsidRPr="00BD1C7F">
        <w:t xml:space="preserve"> </w:t>
      </w:r>
      <w:r w:rsidR="00BD1C7F">
        <w:t>RAN#91-e</w:t>
      </w:r>
      <w:bookmarkEnd w:id="28"/>
    </w:p>
    <w:bookmarkStart w:id="29" w:name="_Ref70945792"/>
    <w:bookmarkEnd w:id="26"/>
    <w:bookmarkEnd w:id="27"/>
    <w:p w14:paraId="259494C5" w14:textId="54FF5602" w:rsidR="003A7EF3" w:rsidRDefault="001935C7">
      <w:pPr>
        <w:pStyle w:val="Reference"/>
      </w:pPr>
      <w:r>
        <w:fldChar w:fldCharType="begin"/>
      </w:r>
      <w:r w:rsidR="00413473">
        <w:instrText>HYPERLINK "https://www.3gpp.org/ftp/TSG_RAN/TSG_RAN/TSGR_92e/Docs/RP-211566.zip"</w:instrText>
      </w:r>
      <w:r>
        <w:fldChar w:fldCharType="separate"/>
      </w:r>
      <w:r w:rsidR="00BD1C7F" w:rsidRPr="001935C7">
        <w:rPr>
          <w:rStyle w:val="Hyperlink"/>
        </w:rPr>
        <w:t>RP-21</w:t>
      </w:r>
      <w:r w:rsidR="00F146A1">
        <w:rPr>
          <w:rStyle w:val="Hyperlink"/>
        </w:rPr>
        <w:t>1</w:t>
      </w:r>
      <w:r w:rsidR="00E712B2">
        <w:rPr>
          <w:rStyle w:val="Hyperlink"/>
        </w:rPr>
        <w:t>566</w:t>
      </w:r>
      <w:r>
        <w:fldChar w:fldCharType="end"/>
      </w:r>
      <w:r w:rsidR="00BD1C7F">
        <w:t xml:space="preserve">, </w:t>
      </w:r>
      <w:r w:rsidR="0067694E">
        <w:t>“</w:t>
      </w:r>
      <w:r w:rsidR="00BD1C7F" w:rsidRPr="00BD1C7F">
        <w:t>Revised WID on NR coverage enhancements</w:t>
      </w:r>
      <w:r w:rsidR="0067694E">
        <w:t>”</w:t>
      </w:r>
      <w:r w:rsidR="00BD1C7F">
        <w:t>, RAN#9</w:t>
      </w:r>
      <w:r w:rsidR="00151EA6">
        <w:t>2</w:t>
      </w:r>
      <w:r w:rsidR="00BD1C7F">
        <w:t>-e</w:t>
      </w:r>
      <w:bookmarkEnd w:id="29"/>
    </w:p>
    <w:bookmarkStart w:id="30" w:name="_Ref78900615"/>
    <w:p w14:paraId="2081E7A8" w14:textId="77777777" w:rsidR="006365BD" w:rsidRDefault="003F268F" w:rsidP="00CE0424">
      <w:pPr>
        <w:pStyle w:val="Reference"/>
      </w:pPr>
      <w:r>
        <w:rPr>
          <w:lang w:val="en-US"/>
        </w:rPr>
        <w:fldChar w:fldCharType="begin"/>
      </w:r>
      <w:r>
        <w:rPr>
          <w:lang w:val="en-US"/>
        </w:rPr>
        <w:instrText xml:space="preserve"> HYPERLINK "https://www.3gpp.org/ftp/TSG_RAN/TSG_RAN/TSGR_92e/Docs/RP-211290.zip" </w:instrText>
      </w:r>
      <w:r>
        <w:rPr>
          <w:lang w:val="en-US"/>
        </w:rPr>
        <w:fldChar w:fldCharType="separate"/>
      </w:r>
      <w:r w:rsidRPr="0008060F">
        <w:rPr>
          <w:rStyle w:val="Hyperlink"/>
          <w:lang w:val="en-US"/>
        </w:rPr>
        <w:t>RP-211290</w:t>
      </w:r>
      <w:r>
        <w:rPr>
          <w:lang w:val="en-US"/>
        </w:rPr>
        <w:fldChar w:fldCharType="end"/>
      </w:r>
      <w:r>
        <w:rPr>
          <w:lang w:val="en-US"/>
        </w:rPr>
        <w:t>, “Revised WID on enhancement of RAN Slicing for NR”, RAN#92-e</w:t>
      </w:r>
      <w:bookmarkEnd w:id="30"/>
    </w:p>
    <w:p w14:paraId="4E2BF1BB" w14:textId="3A8FCAB3" w:rsidR="003F268F" w:rsidRDefault="00373A8D" w:rsidP="00CE0424">
      <w:pPr>
        <w:pStyle w:val="Reference"/>
      </w:pPr>
      <w:r>
        <w:t xml:space="preserve">Draft Minutes, report RAN1#105-e. </w:t>
      </w:r>
    </w:p>
    <w:p w14:paraId="396013F6" w14:textId="03CDFA16" w:rsidR="00825B39" w:rsidRDefault="00825B39" w:rsidP="00CE0424">
      <w:pPr>
        <w:pStyle w:val="Reference"/>
      </w:pPr>
      <w:bookmarkStart w:id="31" w:name="_Ref78980448"/>
      <w:r w:rsidRPr="00F310E2">
        <w:t>[Post114-e][252][Slicing]</w:t>
      </w:r>
      <w:r w:rsidRPr="00825B39">
        <w:t xml:space="preserve"> RACH partitioning details</w:t>
      </w:r>
      <w:bookmarkEnd w:id="31"/>
    </w:p>
    <w:bookmarkStart w:id="32" w:name="_Ref75161746"/>
    <w:p w14:paraId="0FFFDD4F" w14:textId="730FD979" w:rsidR="00825B39" w:rsidRPr="00825B39" w:rsidRDefault="00825B39" w:rsidP="00825B39">
      <w:pPr>
        <w:pStyle w:val="Reference"/>
      </w:pPr>
      <w:r>
        <w:fldChar w:fldCharType="begin"/>
      </w:r>
      <w:r>
        <w:instrText xml:space="preserve"> HYPERLINK "https://www.3gpp.org/ftp/TSG_RAN/TSG_RAN/TSGR_92e/Docs/RP-211347.zip" </w:instrText>
      </w:r>
      <w:r>
        <w:fldChar w:fldCharType="separate"/>
      </w:r>
      <w:r w:rsidRPr="0011651B">
        <w:rPr>
          <w:rStyle w:val="Hyperlink"/>
        </w:rPr>
        <w:t>RP-211347</w:t>
      </w:r>
      <w:r>
        <w:fldChar w:fldCharType="end"/>
      </w:r>
      <w:r>
        <w:t>, Status Report NR-SmallData, RAN2 ZTE, RP#92-e, June 2021</w:t>
      </w:r>
      <w:bookmarkEnd w:id="32"/>
    </w:p>
    <w:sectPr w:rsidR="00825B39" w:rsidRPr="00825B39"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F8BAB5" w14:textId="77777777" w:rsidR="00665D7E" w:rsidRDefault="00665D7E">
      <w:r>
        <w:separator/>
      </w:r>
    </w:p>
  </w:endnote>
  <w:endnote w:type="continuationSeparator" w:id="0">
    <w:p w14:paraId="0A26A1C8" w14:textId="77777777" w:rsidR="00665D7E" w:rsidRDefault="00665D7E">
      <w:r>
        <w:continuationSeparator/>
      </w:r>
    </w:p>
  </w:endnote>
  <w:endnote w:type="continuationNotice" w:id="1">
    <w:p w14:paraId="691B483D" w14:textId="77777777" w:rsidR="00665D7E" w:rsidRDefault="00665D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5085D7" w14:textId="77777777" w:rsidR="00665D7E" w:rsidRDefault="00665D7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45F6FC" w14:textId="77777777" w:rsidR="00665D7E" w:rsidRDefault="00665D7E">
      <w:r>
        <w:separator/>
      </w:r>
    </w:p>
  </w:footnote>
  <w:footnote w:type="continuationSeparator" w:id="0">
    <w:p w14:paraId="7E0DEE7C" w14:textId="77777777" w:rsidR="00665D7E" w:rsidRDefault="00665D7E">
      <w:r>
        <w:continuationSeparator/>
      </w:r>
    </w:p>
  </w:footnote>
  <w:footnote w:type="continuationNotice" w:id="1">
    <w:p w14:paraId="7A98394E" w14:textId="77777777" w:rsidR="00665D7E" w:rsidRDefault="00665D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79F002" w14:textId="77777777" w:rsidR="00665D7E" w:rsidRDefault="00665D7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F8DCD6D1"/>
    <w:multiLevelType w:val="singleLevel"/>
    <w:tmpl w:val="F8DCD6D1"/>
    <w:lvl w:ilvl="0">
      <w:start w:val="1"/>
      <w:numFmt w:val="bullet"/>
      <w:lvlText w:val=""/>
      <w:lvlJc w:val="left"/>
      <w:pPr>
        <w:tabs>
          <w:tab w:val="left" w:pos="840"/>
        </w:tabs>
        <w:ind w:left="1260" w:hanging="420"/>
      </w:pPr>
      <w:rPr>
        <w:rFonts w:ascii="Wingdings" w:hAnsi="Wingdings" w:hint="default"/>
      </w:rPr>
    </w:lvl>
  </w:abstractNum>
  <w:abstractNum w:abstractNumId="3"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4"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5"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6EC3E2F"/>
    <w:multiLevelType w:val="hybridMultilevel"/>
    <w:tmpl w:val="427ACA0A"/>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9" w15:restartNumberingAfterBreak="0">
    <w:nsid w:val="0F78286A"/>
    <w:multiLevelType w:val="hybridMultilevel"/>
    <w:tmpl w:val="40CC5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5297A9E"/>
    <w:multiLevelType w:val="hybridMultilevel"/>
    <w:tmpl w:val="BDBAFB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620388"/>
    <w:multiLevelType w:val="hybridMultilevel"/>
    <w:tmpl w:val="50565CD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1682075D"/>
    <w:multiLevelType w:val="singleLevel"/>
    <w:tmpl w:val="1682075D"/>
    <w:lvl w:ilvl="0">
      <w:start w:val="1"/>
      <w:numFmt w:val="bullet"/>
      <w:lvlText w:val=""/>
      <w:lvlJc w:val="left"/>
      <w:pPr>
        <w:tabs>
          <w:tab w:val="left" w:pos="840"/>
        </w:tabs>
        <w:ind w:left="1260" w:hanging="420"/>
      </w:pPr>
      <w:rPr>
        <w:rFonts w:ascii="Wingdings" w:hAnsi="Wingdings" w:hint="default"/>
      </w:rPr>
    </w:lvl>
  </w:abstractNum>
  <w:abstractNum w:abstractNumId="14"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1FC15BC2"/>
    <w:multiLevelType w:val="hybridMultilevel"/>
    <w:tmpl w:val="5E2662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5B11EAF"/>
    <w:multiLevelType w:val="hybridMultilevel"/>
    <w:tmpl w:val="889C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2E453A54"/>
    <w:multiLevelType w:val="hybridMultilevel"/>
    <w:tmpl w:val="8A9E51FE"/>
    <w:lvl w:ilvl="0" w:tplc="08090001">
      <w:start w:val="1"/>
      <w:numFmt w:val="bullet"/>
      <w:lvlText w:val=""/>
      <w:lvlJc w:val="left"/>
      <w:pPr>
        <w:ind w:left="720" w:hanging="360"/>
      </w:pPr>
      <w:rPr>
        <w:rFonts w:ascii="Symbol" w:hAnsi="Symbol" w:hint="default"/>
      </w:rPr>
    </w:lvl>
    <w:lvl w:ilvl="1" w:tplc="A4C6E436">
      <w:numFmt w:val="bullet"/>
      <w:lvlText w:val="-"/>
      <w:lvlJc w:val="left"/>
      <w:pPr>
        <w:ind w:left="1660" w:hanging="58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2E713A"/>
    <w:multiLevelType w:val="hybridMultilevel"/>
    <w:tmpl w:val="228E01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3173E2"/>
    <w:multiLevelType w:val="hybridMultilevel"/>
    <w:tmpl w:val="DBA006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A743A75"/>
    <w:multiLevelType w:val="hybridMultilevel"/>
    <w:tmpl w:val="A5B80A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4B5EF2"/>
    <w:multiLevelType w:val="hybridMultilevel"/>
    <w:tmpl w:val="53181F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3D9089A1"/>
    <w:multiLevelType w:val="multilevel"/>
    <w:tmpl w:val="3D9089A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432130F3"/>
    <w:multiLevelType w:val="singleLevel"/>
    <w:tmpl w:val="432130F3"/>
    <w:lvl w:ilvl="0">
      <w:start w:val="1"/>
      <w:numFmt w:val="bullet"/>
      <w:lvlText w:val=""/>
      <w:lvlJc w:val="left"/>
      <w:pPr>
        <w:tabs>
          <w:tab w:val="left" w:pos="840"/>
        </w:tabs>
        <w:ind w:left="1260" w:hanging="420"/>
      </w:pPr>
      <w:rPr>
        <w:rFonts w:ascii="Wingdings" w:hAnsi="Wingdings" w:hint="default"/>
      </w:rPr>
    </w:lvl>
  </w:abstractNum>
  <w:abstractNum w:abstractNumId="3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5842AF9"/>
    <w:multiLevelType w:val="hybridMultilevel"/>
    <w:tmpl w:val="6B2CEDCA"/>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46C007BB"/>
    <w:multiLevelType w:val="hybridMultilevel"/>
    <w:tmpl w:val="6792EA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85FA9BC"/>
    <w:multiLevelType w:val="singleLevel"/>
    <w:tmpl w:val="485FA9BC"/>
    <w:lvl w:ilvl="0">
      <w:start w:val="1"/>
      <w:numFmt w:val="bullet"/>
      <w:lvlText w:val=""/>
      <w:lvlJc w:val="left"/>
      <w:pPr>
        <w:tabs>
          <w:tab w:val="left" w:pos="840"/>
        </w:tabs>
        <w:ind w:left="1260" w:hanging="420"/>
      </w:pPr>
      <w:rPr>
        <w:rFonts w:ascii="Wingdings" w:hAnsi="Wingdings" w:hint="default"/>
      </w:r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A246C82"/>
    <w:multiLevelType w:val="hybridMultilevel"/>
    <w:tmpl w:val="F744784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46" w15:restartNumberingAfterBreak="0">
    <w:nsid w:val="5EF70007"/>
    <w:multiLevelType w:val="hybridMultilevel"/>
    <w:tmpl w:val="763695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5F3A760A"/>
    <w:multiLevelType w:val="hybridMultilevel"/>
    <w:tmpl w:val="3244DF14"/>
    <w:lvl w:ilvl="0" w:tplc="08090001">
      <w:start w:val="1"/>
      <w:numFmt w:val="bullet"/>
      <w:lvlText w:val=""/>
      <w:lvlJc w:val="left"/>
      <w:pPr>
        <w:ind w:left="1431" w:hanging="360"/>
      </w:pPr>
      <w:rPr>
        <w:rFonts w:ascii="Symbol" w:hAnsi="Symbol" w:hint="default"/>
      </w:rPr>
    </w:lvl>
    <w:lvl w:ilvl="1" w:tplc="08090003" w:tentative="1">
      <w:start w:val="1"/>
      <w:numFmt w:val="bullet"/>
      <w:lvlText w:val="o"/>
      <w:lvlJc w:val="left"/>
      <w:pPr>
        <w:ind w:left="2151" w:hanging="360"/>
      </w:pPr>
      <w:rPr>
        <w:rFonts w:ascii="Courier New" w:hAnsi="Courier New" w:cs="Courier New" w:hint="default"/>
      </w:rPr>
    </w:lvl>
    <w:lvl w:ilvl="2" w:tplc="08090005" w:tentative="1">
      <w:start w:val="1"/>
      <w:numFmt w:val="bullet"/>
      <w:lvlText w:val=""/>
      <w:lvlJc w:val="left"/>
      <w:pPr>
        <w:ind w:left="2871" w:hanging="360"/>
      </w:pPr>
      <w:rPr>
        <w:rFonts w:ascii="Wingdings" w:hAnsi="Wingdings" w:hint="default"/>
      </w:rPr>
    </w:lvl>
    <w:lvl w:ilvl="3" w:tplc="08090001" w:tentative="1">
      <w:start w:val="1"/>
      <w:numFmt w:val="bullet"/>
      <w:lvlText w:val=""/>
      <w:lvlJc w:val="left"/>
      <w:pPr>
        <w:ind w:left="3591" w:hanging="360"/>
      </w:pPr>
      <w:rPr>
        <w:rFonts w:ascii="Symbol" w:hAnsi="Symbol" w:hint="default"/>
      </w:rPr>
    </w:lvl>
    <w:lvl w:ilvl="4" w:tplc="08090003" w:tentative="1">
      <w:start w:val="1"/>
      <w:numFmt w:val="bullet"/>
      <w:lvlText w:val="o"/>
      <w:lvlJc w:val="left"/>
      <w:pPr>
        <w:ind w:left="4311" w:hanging="360"/>
      </w:pPr>
      <w:rPr>
        <w:rFonts w:ascii="Courier New" w:hAnsi="Courier New" w:cs="Courier New" w:hint="default"/>
      </w:rPr>
    </w:lvl>
    <w:lvl w:ilvl="5" w:tplc="08090005" w:tentative="1">
      <w:start w:val="1"/>
      <w:numFmt w:val="bullet"/>
      <w:lvlText w:val=""/>
      <w:lvlJc w:val="left"/>
      <w:pPr>
        <w:ind w:left="5031" w:hanging="360"/>
      </w:pPr>
      <w:rPr>
        <w:rFonts w:ascii="Wingdings" w:hAnsi="Wingdings" w:hint="default"/>
      </w:rPr>
    </w:lvl>
    <w:lvl w:ilvl="6" w:tplc="08090001" w:tentative="1">
      <w:start w:val="1"/>
      <w:numFmt w:val="bullet"/>
      <w:lvlText w:val=""/>
      <w:lvlJc w:val="left"/>
      <w:pPr>
        <w:ind w:left="5751" w:hanging="360"/>
      </w:pPr>
      <w:rPr>
        <w:rFonts w:ascii="Symbol" w:hAnsi="Symbol" w:hint="default"/>
      </w:rPr>
    </w:lvl>
    <w:lvl w:ilvl="7" w:tplc="08090003" w:tentative="1">
      <w:start w:val="1"/>
      <w:numFmt w:val="bullet"/>
      <w:lvlText w:val="o"/>
      <w:lvlJc w:val="left"/>
      <w:pPr>
        <w:ind w:left="6471" w:hanging="360"/>
      </w:pPr>
      <w:rPr>
        <w:rFonts w:ascii="Courier New" w:hAnsi="Courier New" w:cs="Courier New" w:hint="default"/>
      </w:rPr>
    </w:lvl>
    <w:lvl w:ilvl="8" w:tplc="08090005" w:tentative="1">
      <w:start w:val="1"/>
      <w:numFmt w:val="bullet"/>
      <w:lvlText w:val=""/>
      <w:lvlJc w:val="left"/>
      <w:pPr>
        <w:ind w:left="7191" w:hanging="360"/>
      </w:pPr>
      <w:rPr>
        <w:rFonts w:ascii="Wingdings" w:hAnsi="Wingdings" w:hint="default"/>
      </w:rPr>
    </w:lvl>
  </w:abstractNum>
  <w:abstractNum w:abstractNumId="48" w15:restartNumberingAfterBreak="0">
    <w:nsid w:val="631022DB"/>
    <w:multiLevelType w:val="hybridMultilevel"/>
    <w:tmpl w:val="D3B8D7E4"/>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6E2B3074"/>
    <w:multiLevelType w:val="hybridMultilevel"/>
    <w:tmpl w:val="219A7E54"/>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5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1" w15:restartNumberingAfterBreak="0">
    <w:nsid w:val="70DA3226"/>
    <w:multiLevelType w:val="hybridMultilevel"/>
    <w:tmpl w:val="1CA67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6"/>
  </w:num>
  <w:num w:numId="2">
    <w:abstractNumId w:val="39"/>
  </w:num>
  <w:num w:numId="3">
    <w:abstractNumId w:val="29"/>
  </w:num>
  <w:num w:numId="4">
    <w:abstractNumId w:val="31"/>
  </w:num>
  <w:num w:numId="5">
    <w:abstractNumId w:val="23"/>
  </w:num>
  <w:num w:numId="6">
    <w:abstractNumId w:val="35"/>
  </w:num>
  <w:num w:numId="7">
    <w:abstractNumId w:val="42"/>
  </w:num>
  <w:num w:numId="8">
    <w:abstractNumId w:val="26"/>
  </w:num>
  <w:num w:numId="9">
    <w:abstractNumId w:val="21"/>
  </w:num>
  <w:num w:numId="10">
    <w:abstractNumId w:val="5"/>
  </w:num>
  <w:num w:numId="11">
    <w:abstractNumId w:val="4"/>
  </w:num>
  <w:num w:numId="12">
    <w:abstractNumId w:val="3"/>
  </w:num>
  <w:num w:numId="13">
    <w:abstractNumId w:val="40"/>
  </w:num>
  <w:num w:numId="14">
    <w:abstractNumId w:val="41"/>
  </w:num>
  <w:num w:numId="15">
    <w:abstractNumId w:val="33"/>
  </w:num>
  <w:num w:numId="16">
    <w:abstractNumId w:val="44"/>
  </w:num>
  <w:num w:numId="17">
    <w:abstractNumId w:val="17"/>
  </w:num>
  <w:num w:numId="18">
    <w:abstractNumId w:val="19"/>
  </w:num>
  <w:num w:numId="19">
    <w:abstractNumId w:val="10"/>
  </w:num>
  <w:num w:numId="20">
    <w:abstractNumId w:val="53"/>
  </w:num>
  <w:num w:numId="21">
    <w:abstractNumId w:val="27"/>
  </w:num>
  <w:num w:numId="22">
    <w:abstractNumId w:val="50"/>
  </w:num>
  <w:num w:numId="23">
    <w:abstractNumId w:val="51"/>
  </w:num>
  <w:num w:numId="24">
    <w:abstractNumId w:val="11"/>
  </w:num>
  <w:num w:numId="25">
    <w:abstractNumId w:val="9"/>
  </w:num>
  <w:num w:numId="26">
    <w:abstractNumId w:val="12"/>
  </w:num>
  <w:num w:numId="27">
    <w:abstractNumId w:val="18"/>
  </w:num>
  <w:num w:numId="28">
    <w:abstractNumId w:val="24"/>
  </w:num>
  <w:num w:numId="29">
    <w:abstractNumId w:val="28"/>
  </w:num>
  <w:num w:numId="30">
    <w:abstractNumId w:val="15"/>
  </w:num>
  <w:num w:numId="31">
    <w:abstractNumId w:val="46"/>
  </w:num>
  <w:num w:numId="32">
    <w:abstractNumId w:val="30"/>
  </w:num>
  <w:num w:numId="33">
    <w:abstractNumId w:val="22"/>
  </w:num>
  <w:num w:numId="34">
    <w:abstractNumId w:val="37"/>
  </w:num>
  <w:num w:numId="35">
    <w:abstractNumId w:val="16"/>
  </w:num>
  <w:num w:numId="36">
    <w:abstractNumId w:val="47"/>
  </w:num>
  <w:num w:numId="37">
    <w:abstractNumId w:val="49"/>
  </w:num>
  <w:num w:numId="38">
    <w:abstractNumId w:val="7"/>
  </w:num>
  <w:num w:numId="39">
    <w:abstractNumId w:val="43"/>
  </w:num>
  <w:num w:numId="40">
    <w:abstractNumId w:val="0"/>
  </w:num>
  <w:num w:numId="41">
    <w:abstractNumId w:val="13"/>
  </w:num>
  <w:num w:numId="42">
    <w:abstractNumId w:val="38"/>
  </w:num>
  <w:num w:numId="43">
    <w:abstractNumId w:val="2"/>
  </w:num>
  <w:num w:numId="44">
    <w:abstractNumId w:val="34"/>
  </w:num>
  <w:num w:numId="45">
    <w:abstractNumId w:val="8"/>
  </w:num>
  <w:num w:numId="46">
    <w:abstractNumId w:val="1"/>
  </w:num>
  <w:num w:numId="47">
    <w:abstractNumId w:val="45"/>
  </w:num>
  <w:num w:numId="48">
    <w:abstractNumId w:val="32"/>
  </w:num>
  <w:num w:numId="49">
    <w:abstractNumId w:val="52"/>
  </w:num>
  <w:num w:numId="50">
    <w:abstractNumId w:val="36"/>
  </w:num>
  <w:num w:numId="51">
    <w:abstractNumId w:val="48"/>
  </w:num>
  <w:num w:numId="52">
    <w:abstractNumId w:val="14"/>
  </w:num>
  <w:num w:numId="53">
    <w:abstractNumId w:val="20"/>
  </w:num>
  <w:num w:numId="54">
    <w:abstractNumId w:val="2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35C"/>
    <w:rsid w:val="000006E1"/>
    <w:rsid w:val="00000BB7"/>
    <w:rsid w:val="00002A37"/>
    <w:rsid w:val="0000564C"/>
    <w:rsid w:val="00006446"/>
    <w:rsid w:val="00006896"/>
    <w:rsid w:val="00007CDC"/>
    <w:rsid w:val="00010691"/>
    <w:rsid w:val="00011B28"/>
    <w:rsid w:val="00013344"/>
    <w:rsid w:val="00013B80"/>
    <w:rsid w:val="000141C3"/>
    <w:rsid w:val="00015806"/>
    <w:rsid w:val="00015D15"/>
    <w:rsid w:val="00020555"/>
    <w:rsid w:val="00020EAB"/>
    <w:rsid w:val="00020EEE"/>
    <w:rsid w:val="00021E4D"/>
    <w:rsid w:val="00024E4B"/>
    <w:rsid w:val="00024F82"/>
    <w:rsid w:val="0002564D"/>
    <w:rsid w:val="00025ECA"/>
    <w:rsid w:val="00026D1B"/>
    <w:rsid w:val="00030EDC"/>
    <w:rsid w:val="000324DB"/>
    <w:rsid w:val="000325B8"/>
    <w:rsid w:val="00032CF5"/>
    <w:rsid w:val="00034AD3"/>
    <w:rsid w:val="00034C15"/>
    <w:rsid w:val="00036BA1"/>
    <w:rsid w:val="00040699"/>
    <w:rsid w:val="000411B2"/>
    <w:rsid w:val="000422E2"/>
    <w:rsid w:val="00042D44"/>
    <w:rsid w:val="00042F22"/>
    <w:rsid w:val="00043918"/>
    <w:rsid w:val="000444EF"/>
    <w:rsid w:val="000476EC"/>
    <w:rsid w:val="00052A07"/>
    <w:rsid w:val="000534E3"/>
    <w:rsid w:val="0005606A"/>
    <w:rsid w:val="00057117"/>
    <w:rsid w:val="000616E7"/>
    <w:rsid w:val="0006487E"/>
    <w:rsid w:val="00065E1A"/>
    <w:rsid w:val="00065EA1"/>
    <w:rsid w:val="000753D1"/>
    <w:rsid w:val="00077E5F"/>
    <w:rsid w:val="0008036A"/>
    <w:rsid w:val="0008060F"/>
    <w:rsid w:val="00081AE6"/>
    <w:rsid w:val="00081C64"/>
    <w:rsid w:val="00082735"/>
    <w:rsid w:val="00083F5F"/>
    <w:rsid w:val="000855EB"/>
    <w:rsid w:val="00085B52"/>
    <w:rsid w:val="00085F3D"/>
    <w:rsid w:val="000866F2"/>
    <w:rsid w:val="0009009F"/>
    <w:rsid w:val="000910B0"/>
    <w:rsid w:val="00091557"/>
    <w:rsid w:val="000924C1"/>
    <w:rsid w:val="000924F0"/>
    <w:rsid w:val="00092CA7"/>
    <w:rsid w:val="00093289"/>
    <w:rsid w:val="00093474"/>
    <w:rsid w:val="0009510F"/>
    <w:rsid w:val="000A0416"/>
    <w:rsid w:val="000A1B7B"/>
    <w:rsid w:val="000A4610"/>
    <w:rsid w:val="000A56F2"/>
    <w:rsid w:val="000B0101"/>
    <w:rsid w:val="000B0884"/>
    <w:rsid w:val="000B2719"/>
    <w:rsid w:val="000B30F0"/>
    <w:rsid w:val="000B3A8F"/>
    <w:rsid w:val="000B4AB9"/>
    <w:rsid w:val="000B58C3"/>
    <w:rsid w:val="000B61E9"/>
    <w:rsid w:val="000B644F"/>
    <w:rsid w:val="000B67D7"/>
    <w:rsid w:val="000C165A"/>
    <w:rsid w:val="000C283D"/>
    <w:rsid w:val="000C2883"/>
    <w:rsid w:val="000C2E19"/>
    <w:rsid w:val="000C5F43"/>
    <w:rsid w:val="000D0D07"/>
    <w:rsid w:val="000D10E2"/>
    <w:rsid w:val="000D45D5"/>
    <w:rsid w:val="000D4797"/>
    <w:rsid w:val="000D70EB"/>
    <w:rsid w:val="000E0024"/>
    <w:rsid w:val="000E0527"/>
    <w:rsid w:val="000E1C7C"/>
    <w:rsid w:val="000E1E92"/>
    <w:rsid w:val="000E7864"/>
    <w:rsid w:val="000F06D6"/>
    <w:rsid w:val="000F0EB1"/>
    <w:rsid w:val="000F1106"/>
    <w:rsid w:val="000F3BE9"/>
    <w:rsid w:val="000F3F6C"/>
    <w:rsid w:val="000F503C"/>
    <w:rsid w:val="000F51BA"/>
    <w:rsid w:val="000F6DF3"/>
    <w:rsid w:val="000F7C2D"/>
    <w:rsid w:val="00100544"/>
    <w:rsid w:val="001005FF"/>
    <w:rsid w:val="00105D76"/>
    <w:rsid w:val="0010620F"/>
    <w:rsid w:val="001062FB"/>
    <w:rsid w:val="001063E6"/>
    <w:rsid w:val="001110BF"/>
    <w:rsid w:val="00113CF4"/>
    <w:rsid w:val="001153EA"/>
    <w:rsid w:val="00115643"/>
    <w:rsid w:val="00116765"/>
    <w:rsid w:val="001219F5"/>
    <w:rsid w:val="00121A20"/>
    <w:rsid w:val="00122287"/>
    <w:rsid w:val="0012377F"/>
    <w:rsid w:val="00124314"/>
    <w:rsid w:val="00126B4A"/>
    <w:rsid w:val="001324E1"/>
    <w:rsid w:val="00132FD0"/>
    <w:rsid w:val="001344C0"/>
    <w:rsid w:val="001346FA"/>
    <w:rsid w:val="00135252"/>
    <w:rsid w:val="00137AB5"/>
    <w:rsid w:val="00137D88"/>
    <w:rsid w:val="00137F0B"/>
    <w:rsid w:val="00141B62"/>
    <w:rsid w:val="00142160"/>
    <w:rsid w:val="00150C70"/>
    <w:rsid w:val="00151E23"/>
    <w:rsid w:val="00151EA6"/>
    <w:rsid w:val="001526E0"/>
    <w:rsid w:val="0015364D"/>
    <w:rsid w:val="001551B5"/>
    <w:rsid w:val="00157B20"/>
    <w:rsid w:val="001659C1"/>
    <w:rsid w:val="001674B5"/>
    <w:rsid w:val="001700CE"/>
    <w:rsid w:val="001705D3"/>
    <w:rsid w:val="00173A8E"/>
    <w:rsid w:val="0017502C"/>
    <w:rsid w:val="0018143F"/>
    <w:rsid w:val="00181FF8"/>
    <w:rsid w:val="001826C5"/>
    <w:rsid w:val="001828F0"/>
    <w:rsid w:val="00186D71"/>
    <w:rsid w:val="00186DAE"/>
    <w:rsid w:val="00190AC1"/>
    <w:rsid w:val="0019290A"/>
    <w:rsid w:val="0019341A"/>
    <w:rsid w:val="001935C7"/>
    <w:rsid w:val="0019481A"/>
    <w:rsid w:val="00195FA9"/>
    <w:rsid w:val="00196094"/>
    <w:rsid w:val="0019693E"/>
    <w:rsid w:val="00197DF9"/>
    <w:rsid w:val="001A1987"/>
    <w:rsid w:val="001A2564"/>
    <w:rsid w:val="001A2C91"/>
    <w:rsid w:val="001A6173"/>
    <w:rsid w:val="001A6CBA"/>
    <w:rsid w:val="001B0D97"/>
    <w:rsid w:val="001B161C"/>
    <w:rsid w:val="001B399C"/>
    <w:rsid w:val="001B5A5D"/>
    <w:rsid w:val="001B5C08"/>
    <w:rsid w:val="001C1CE5"/>
    <w:rsid w:val="001C3D2A"/>
    <w:rsid w:val="001D3E3A"/>
    <w:rsid w:val="001D3F53"/>
    <w:rsid w:val="001D51BA"/>
    <w:rsid w:val="001D53E7"/>
    <w:rsid w:val="001D6342"/>
    <w:rsid w:val="001D6D53"/>
    <w:rsid w:val="001D7235"/>
    <w:rsid w:val="001E58E2"/>
    <w:rsid w:val="001E5DDD"/>
    <w:rsid w:val="001E5FBE"/>
    <w:rsid w:val="001E6E98"/>
    <w:rsid w:val="001E7AED"/>
    <w:rsid w:val="001F032E"/>
    <w:rsid w:val="001F3916"/>
    <w:rsid w:val="001F436E"/>
    <w:rsid w:val="001F54C5"/>
    <w:rsid w:val="001F662C"/>
    <w:rsid w:val="001F7074"/>
    <w:rsid w:val="00200490"/>
    <w:rsid w:val="002005EE"/>
    <w:rsid w:val="00201729"/>
    <w:rsid w:val="00201F3A"/>
    <w:rsid w:val="002031F8"/>
    <w:rsid w:val="00203F96"/>
    <w:rsid w:val="002069B2"/>
    <w:rsid w:val="00207046"/>
    <w:rsid w:val="00207FA3"/>
    <w:rsid w:val="00214DA8"/>
    <w:rsid w:val="00215423"/>
    <w:rsid w:val="002158FA"/>
    <w:rsid w:val="00215947"/>
    <w:rsid w:val="00220600"/>
    <w:rsid w:val="00220E34"/>
    <w:rsid w:val="002224DB"/>
    <w:rsid w:val="00223FCB"/>
    <w:rsid w:val="002252C3"/>
    <w:rsid w:val="00225C54"/>
    <w:rsid w:val="002268E5"/>
    <w:rsid w:val="002270E9"/>
    <w:rsid w:val="00230765"/>
    <w:rsid w:val="00230D18"/>
    <w:rsid w:val="002319E4"/>
    <w:rsid w:val="0023222E"/>
    <w:rsid w:val="00233481"/>
    <w:rsid w:val="00235632"/>
    <w:rsid w:val="00235872"/>
    <w:rsid w:val="002361CD"/>
    <w:rsid w:val="002401E7"/>
    <w:rsid w:val="00240D1D"/>
    <w:rsid w:val="00241559"/>
    <w:rsid w:val="00242F59"/>
    <w:rsid w:val="002435B3"/>
    <w:rsid w:val="002458EB"/>
    <w:rsid w:val="00245E28"/>
    <w:rsid w:val="002500C8"/>
    <w:rsid w:val="0025299C"/>
    <w:rsid w:val="00253C27"/>
    <w:rsid w:val="0025480F"/>
    <w:rsid w:val="00257543"/>
    <w:rsid w:val="00260365"/>
    <w:rsid w:val="002617E7"/>
    <w:rsid w:val="00264228"/>
    <w:rsid w:val="00264334"/>
    <w:rsid w:val="0026473E"/>
    <w:rsid w:val="00266214"/>
    <w:rsid w:val="00267C83"/>
    <w:rsid w:val="002708CE"/>
    <w:rsid w:val="0027144F"/>
    <w:rsid w:val="0027174E"/>
    <w:rsid w:val="00271813"/>
    <w:rsid w:val="00271F3A"/>
    <w:rsid w:val="00273278"/>
    <w:rsid w:val="002737F4"/>
    <w:rsid w:val="0027550E"/>
    <w:rsid w:val="002805F5"/>
    <w:rsid w:val="00280751"/>
    <w:rsid w:val="00280EEA"/>
    <w:rsid w:val="0028280A"/>
    <w:rsid w:val="00283C3D"/>
    <w:rsid w:val="0028442B"/>
    <w:rsid w:val="00286ACD"/>
    <w:rsid w:val="00287838"/>
    <w:rsid w:val="002907B5"/>
    <w:rsid w:val="00292EB7"/>
    <w:rsid w:val="002952C7"/>
    <w:rsid w:val="00296227"/>
    <w:rsid w:val="00296F44"/>
    <w:rsid w:val="0029777D"/>
    <w:rsid w:val="002A055E"/>
    <w:rsid w:val="002A1D4E"/>
    <w:rsid w:val="002A25A4"/>
    <w:rsid w:val="002A2869"/>
    <w:rsid w:val="002A349A"/>
    <w:rsid w:val="002A43EF"/>
    <w:rsid w:val="002A48F1"/>
    <w:rsid w:val="002A49F6"/>
    <w:rsid w:val="002A5334"/>
    <w:rsid w:val="002B24D6"/>
    <w:rsid w:val="002B2EB9"/>
    <w:rsid w:val="002B6E1C"/>
    <w:rsid w:val="002C1CD6"/>
    <w:rsid w:val="002C41E6"/>
    <w:rsid w:val="002C4501"/>
    <w:rsid w:val="002C5020"/>
    <w:rsid w:val="002C6D9A"/>
    <w:rsid w:val="002C76A9"/>
    <w:rsid w:val="002D071A"/>
    <w:rsid w:val="002D0D3B"/>
    <w:rsid w:val="002D34B2"/>
    <w:rsid w:val="002D48B0"/>
    <w:rsid w:val="002D5B37"/>
    <w:rsid w:val="002D6D9C"/>
    <w:rsid w:val="002D7637"/>
    <w:rsid w:val="002E171D"/>
    <w:rsid w:val="002E17F2"/>
    <w:rsid w:val="002E1C1F"/>
    <w:rsid w:val="002E43FB"/>
    <w:rsid w:val="002E67DE"/>
    <w:rsid w:val="002E7CAE"/>
    <w:rsid w:val="002E7E77"/>
    <w:rsid w:val="002F0ADF"/>
    <w:rsid w:val="002F20D4"/>
    <w:rsid w:val="002F2771"/>
    <w:rsid w:val="002F2FEE"/>
    <w:rsid w:val="002F37A9"/>
    <w:rsid w:val="002F49FB"/>
    <w:rsid w:val="002F5811"/>
    <w:rsid w:val="002F6567"/>
    <w:rsid w:val="002F7313"/>
    <w:rsid w:val="00301CE6"/>
    <w:rsid w:val="00302115"/>
    <w:rsid w:val="0030256B"/>
    <w:rsid w:val="00304C8D"/>
    <w:rsid w:val="0030501F"/>
    <w:rsid w:val="00307BA1"/>
    <w:rsid w:val="00311702"/>
    <w:rsid w:val="00311E82"/>
    <w:rsid w:val="00312A8E"/>
    <w:rsid w:val="00313FD6"/>
    <w:rsid w:val="003143BD"/>
    <w:rsid w:val="00315363"/>
    <w:rsid w:val="0031630D"/>
    <w:rsid w:val="003173F4"/>
    <w:rsid w:val="003203ED"/>
    <w:rsid w:val="00322C9F"/>
    <w:rsid w:val="00324964"/>
    <w:rsid w:val="00324D23"/>
    <w:rsid w:val="00331751"/>
    <w:rsid w:val="00334579"/>
    <w:rsid w:val="00335858"/>
    <w:rsid w:val="00336BDA"/>
    <w:rsid w:val="00342271"/>
    <w:rsid w:val="00342BD7"/>
    <w:rsid w:val="00343ACF"/>
    <w:rsid w:val="00344DB5"/>
    <w:rsid w:val="00346DB5"/>
    <w:rsid w:val="003477B1"/>
    <w:rsid w:val="0035075C"/>
    <w:rsid w:val="00351CC7"/>
    <w:rsid w:val="00355621"/>
    <w:rsid w:val="00355DD2"/>
    <w:rsid w:val="00357380"/>
    <w:rsid w:val="003602D9"/>
    <w:rsid w:val="003604CE"/>
    <w:rsid w:val="003660EF"/>
    <w:rsid w:val="00370E47"/>
    <w:rsid w:val="00373A8D"/>
    <w:rsid w:val="00373ECD"/>
    <w:rsid w:val="003742AC"/>
    <w:rsid w:val="00377CE1"/>
    <w:rsid w:val="00380F17"/>
    <w:rsid w:val="0038203C"/>
    <w:rsid w:val="00382699"/>
    <w:rsid w:val="00384233"/>
    <w:rsid w:val="00384DF0"/>
    <w:rsid w:val="00385BF0"/>
    <w:rsid w:val="00391800"/>
    <w:rsid w:val="00392CCA"/>
    <w:rsid w:val="003939FF"/>
    <w:rsid w:val="0039570F"/>
    <w:rsid w:val="00397113"/>
    <w:rsid w:val="003A03F9"/>
    <w:rsid w:val="003A05E5"/>
    <w:rsid w:val="003A0FB6"/>
    <w:rsid w:val="003A2223"/>
    <w:rsid w:val="003A2A0F"/>
    <w:rsid w:val="003A39A2"/>
    <w:rsid w:val="003A4070"/>
    <w:rsid w:val="003A45A1"/>
    <w:rsid w:val="003A5B0A"/>
    <w:rsid w:val="003A6BAC"/>
    <w:rsid w:val="003A70A4"/>
    <w:rsid w:val="003A7EF3"/>
    <w:rsid w:val="003B01D9"/>
    <w:rsid w:val="003B159C"/>
    <w:rsid w:val="003B369F"/>
    <w:rsid w:val="003B36A3"/>
    <w:rsid w:val="003B4B84"/>
    <w:rsid w:val="003B514B"/>
    <w:rsid w:val="003B64BB"/>
    <w:rsid w:val="003B7FE5"/>
    <w:rsid w:val="003C0960"/>
    <w:rsid w:val="003C11C8"/>
    <w:rsid w:val="003C20E5"/>
    <w:rsid w:val="003C2702"/>
    <w:rsid w:val="003C4B46"/>
    <w:rsid w:val="003C6583"/>
    <w:rsid w:val="003C7806"/>
    <w:rsid w:val="003D109F"/>
    <w:rsid w:val="003D2478"/>
    <w:rsid w:val="003D2891"/>
    <w:rsid w:val="003D3C45"/>
    <w:rsid w:val="003D5388"/>
    <w:rsid w:val="003D5B1F"/>
    <w:rsid w:val="003D60AD"/>
    <w:rsid w:val="003D75DB"/>
    <w:rsid w:val="003E15FA"/>
    <w:rsid w:val="003E50E3"/>
    <w:rsid w:val="003E55E4"/>
    <w:rsid w:val="003E7283"/>
    <w:rsid w:val="003E74E3"/>
    <w:rsid w:val="003F05C7"/>
    <w:rsid w:val="003F0E3F"/>
    <w:rsid w:val="003F1954"/>
    <w:rsid w:val="003F268F"/>
    <w:rsid w:val="003F2CD4"/>
    <w:rsid w:val="003F2F26"/>
    <w:rsid w:val="003F606F"/>
    <w:rsid w:val="003F6BBE"/>
    <w:rsid w:val="003F7828"/>
    <w:rsid w:val="003F7B72"/>
    <w:rsid w:val="004000E8"/>
    <w:rsid w:val="00400F74"/>
    <w:rsid w:val="0040241D"/>
    <w:rsid w:val="00402E2B"/>
    <w:rsid w:val="0040512B"/>
    <w:rsid w:val="00405CA5"/>
    <w:rsid w:val="00407CD3"/>
    <w:rsid w:val="00410134"/>
    <w:rsid w:val="0041033A"/>
    <w:rsid w:val="00410B72"/>
    <w:rsid w:val="00410F18"/>
    <w:rsid w:val="0041263E"/>
    <w:rsid w:val="00413473"/>
    <w:rsid w:val="00413AAC"/>
    <w:rsid w:val="00413E92"/>
    <w:rsid w:val="00414511"/>
    <w:rsid w:val="00415865"/>
    <w:rsid w:val="00415D7B"/>
    <w:rsid w:val="004161AE"/>
    <w:rsid w:val="00416B13"/>
    <w:rsid w:val="00417D65"/>
    <w:rsid w:val="00421105"/>
    <w:rsid w:val="00422AA4"/>
    <w:rsid w:val="004242F4"/>
    <w:rsid w:val="0042437F"/>
    <w:rsid w:val="004245CD"/>
    <w:rsid w:val="00427248"/>
    <w:rsid w:val="004302B0"/>
    <w:rsid w:val="00432A42"/>
    <w:rsid w:val="00432C8F"/>
    <w:rsid w:val="00434CE9"/>
    <w:rsid w:val="00435257"/>
    <w:rsid w:val="00436AE8"/>
    <w:rsid w:val="00437447"/>
    <w:rsid w:val="00441A92"/>
    <w:rsid w:val="00441FB8"/>
    <w:rsid w:val="004431DC"/>
    <w:rsid w:val="004436E1"/>
    <w:rsid w:val="00444494"/>
    <w:rsid w:val="00444BB1"/>
    <w:rsid w:val="00444F56"/>
    <w:rsid w:val="00444FD0"/>
    <w:rsid w:val="00446488"/>
    <w:rsid w:val="004465AC"/>
    <w:rsid w:val="004469DC"/>
    <w:rsid w:val="00446D50"/>
    <w:rsid w:val="004517AA"/>
    <w:rsid w:val="00451B35"/>
    <w:rsid w:val="0045218C"/>
    <w:rsid w:val="00452CAC"/>
    <w:rsid w:val="00456306"/>
    <w:rsid w:val="00457565"/>
    <w:rsid w:val="00457B71"/>
    <w:rsid w:val="00461326"/>
    <w:rsid w:val="00464857"/>
    <w:rsid w:val="004660A6"/>
    <w:rsid w:val="004669E2"/>
    <w:rsid w:val="00470C31"/>
    <w:rsid w:val="00471DE0"/>
    <w:rsid w:val="004734D0"/>
    <w:rsid w:val="00474A58"/>
    <w:rsid w:val="0047556B"/>
    <w:rsid w:val="00477768"/>
    <w:rsid w:val="004847B1"/>
    <w:rsid w:val="00486749"/>
    <w:rsid w:val="00486B87"/>
    <w:rsid w:val="00486FDB"/>
    <w:rsid w:val="0048705F"/>
    <w:rsid w:val="00487D1C"/>
    <w:rsid w:val="00490468"/>
    <w:rsid w:val="00491CFF"/>
    <w:rsid w:val="00491DEB"/>
    <w:rsid w:val="00492BC5"/>
    <w:rsid w:val="004954E1"/>
    <w:rsid w:val="004964F1"/>
    <w:rsid w:val="004975DE"/>
    <w:rsid w:val="004A0DD9"/>
    <w:rsid w:val="004A0F83"/>
    <w:rsid w:val="004A16BC"/>
    <w:rsid w:val="004A2802"/>
    <w:rsid w:val="004A2B94"/>
    <w:rsid w:val="004A5E3D"/>
    <w:rsid w:val="004B0C13"/>
    <w:rsid w:val="004B524E"/>
    <w:rsid w:val="004B6F6A"/>
    <w:rsid w:val="004B7C0C"/>
    <w:rsid w:val="004C14BA"/>
    <w:rsid w:val="004C353D"/>
    <w:rsid w:val="004C3898"/>
    <w:rsid w:val="004C4D4E"/>
    <w:rsid w:val="004C52CC"/>
    <w:rsid w:val="004C6E21"/>
    <w:rsid w:val="004D1C5A"/>
    <w:rsid w:val="004D2D23"/>
    <w:rsid w:val="004D36B1"/>
    <w:rsid w:val="004D37A3"/>
    <w:rsid w:val="004D6D55"/>
    <w:rsid w:val="004D7EBD"/>
    <w:rsid w:val="004E1548"/>
    <w:rsid w:val="004E1794"/>
    <w:rsid w:val="004E2680"/>
    <w:rsid w:val="004E28F9"/>
    <w:rsid w:val="004E4358"/>
    <w:rsid w:val="004E462E"/>
    <w:rsid w:val="004E56DC"/>
    <w:rsid w:val="004E76F4"/>
    <w:rsid w:val="004E7D84"/>
    <w:rsid w:val="004E7DF1"/>
    <w:rsid w:val="004F0B4E"/>
    <w:rsid w:val="004F0B6C"/>
    <w:rsid w:val="004F1393"/>
    <w:rsid w:val="004F2078"/>
    <w:rsid w:val="004F2D25"/>
    <w:rsid w:val="004F4DA3"/>
    <w:rsid w:val="004F52A8"/>
    <w:rsid w:val="004F6CE5"/>
    <w:rsid w:val="004F7231"/>
    <w:rsid w:val="00503C6E"/>
    <w:rsid w:val="00504268"/>
    <w:rsid w:val="00504663"/>
    <w:rsid w:val="0050544C"/>
    <w:rsid w:val="00506557"/>
    <w:rsid w:val="0050677A"/>
    <w:rsid w:val="005108D8"/>
    <w:rsid w:val="005116F9"/>
    <w:rsid w:val="005153A7"/>
    <w:rsid w:val="005206F7"/>
    <w:rsid w:val="005219CF"/>
    <w:rsid w:val="00524347"/>
    <w:rsid w:val="005313E0"/>
    <w:rsid w:val="00534B59"/>
    <w:rsid w:val="00536759"/>
    <w:rsid w:val="00536C4F"/>
    <w:rsid w:val="00536E6A"/>
    <w:rsid w:val="00537C62"/>
    <w:rsid w:val="00546970"/>
    <w:rsid w:val="005470F9"/>
    <w:rsid w:val="00547A88"/>
    <w:rsid w:val="00551713"/>
    <w:rsid w:val="0055436D"/>
    <w:rsid w:val="00554E19"/>
    <w:rsid w:val="005557CF"/>
    <w:rsid w:val="0055612F"/>
    <w:rsid w:val="00557FA5"/>
    <w:rsid w:val="0056121F"/>
    <w:rsid w:val="005623E0"/>
    <w:rsid w:val="00567FD8"/>
    <w:rsid w:val="00570C13"/>
    <w:rsid w:val="0057112B"/>
    <w:rsid w:val="00572505"/>
    <w:rsid w:val="005734EC"/>
    <w:rsid w:val="0057451E"/>
    <w:rsid w:val="005750F5"/>
    <w:rsid w:val="0057513D"/>
    <w:rsid w:val="00581577"/>
    <w:rsid w:val="00582809"/>
    <w:rsid w:val="00583555"/>
    <w:rsid w:val="0058798C"/>
    <w:rsid w:val="005900FA"/>
    <w:rsid w:val="0059099A"/>
    <w:rsid w:val="005935A4"/>
    <w:rsid w:val="005948C2"/>
    <w:rsid w:val="00595DCA"/>
    <w:rsid w:val="0059779B"/>
    <w:rsid w:val="005A1EAA"/>
    <w:rsid w:val="005A209A"/>
    <w:rsid w:val="005A662D"/>
    <w:rsid w:val="005B1409"/>
    <w:rsid w:val="005B240B"/>
    <w:rsid w:val="005B338A"/>
    <w:rsid w:val="005B35D7"/>
    <w:rsid w:val="005B379F"/>
    <w:rsid w:val="005B392A"/>
    <w:rsid w:val="005B3AA3"/>
    <w:rsid w:val="005B40DC"/>
    <w:rsid w:val="005B6F83"/>
    <w:rsid w:val="005B79CB"/>
    <w:rsid w:val="005B7AC6"/>
    <w:rsid w:val="005C3B14"/>
    <w:rsid w:val="005C74FB"/>
    <w:rsid w:val="005C784D"/>
    <w:rsid w:val="005D1602"/>
    <w:rsid w:val="005D402C"/>
    <w:rsid w:val="005D5CAD"/>
    <w:rsid w:val="005D6B8C"/>
    <w:rsid w:val="005E1709"/>
    <w:rsid w:val="005E385F"/>
    <w:rsid w:val="005E5B81"/>
    <w:rsid w:val="005F1DC7"/>
    <w:rsid w:val="005F26ED"/>
    <w:rsid w:val="005F2CB1"/>
    <w:rsid w:val="005F3025"/>
    <w:rsid w:val="005F350D"/>
    <w:rsid w:val="005F5BBA"/>
    <w:rsid w:val="005F618C"/>
    <w:rsid w:val="005F6B5E"/>
    <w:rsid w:val="005F6D65"/>
    <w:rsid w:val="005F70BD"/>
    <w:rsid w:val="005F797A"/>
    <w:rsid w:val="0060283C"/>
    <w:rsid w:val="006031A0"/>
    <w:rsid w:val="00603AFE"/>
    <w:rsid w:val="00604F14"/>
    <w:rsid w:val="0060563B"/>
    <w:rsid w:val="00606A21"/>
    <w:rsid w:val="00611B83"/>
    <w:rsid w:val="00612CD3"/>
    <w:rsid w:val="00613257"/>
    <w:rsid w:val="00613F3C"/>
    <w:rsid w:val="00614F9E"/>
    <w:rsid w:val="00620A71"/>
    <w:rsid w:val="00620D80"/>
    <w:rsid w:val="006234A6"/>
    <w:rsid w:val="00625093"/>
    <w:rsid w:val="006255FD"/>
    <w:rsid w:val="006265BD"/>
    <w:rsid w:val="00626B57"/>
    <w:rsid w:val="00630001"/>
    <w:rsid w:val="0063048F"/>
    <w:rsid w:val="006311B3"/>
    <w:rsid w:val="00631623"/>
    <w:rsid w:val="0063193C"/>
    <w:rsid w:val="0063284C"/>
    <w:rsid w:val="0063452E"/>
    <w:rsid w:val="00634B35"/>
    <w:rsid w:val="00636398"/>
    <w:rsid w:val="006365BD"/>
    <w:rsid w:val="006368D3"/>
    <w:rsid w:val="006377EC"/>
    <w:rsid w:val="00640856"/>
    <w:rsid w:val="00640ED8"/>
    <w:rsid w:val="0064151F"/>
    <w:rsid w:val="00641533"/>
    <w:rsid w:val="0064208D"/>
    <w:rsid w:val="006428D6"/>
    <w:rsid w:val="00643475"/>
    <w:rsid w:val="0064396A"/>
    <w:rsid w:val="006450FE"/>
    <w:rsid w:val="00645160"/>
    <w:rsid w:val="00645F26"/>
    <w:rsid w:val="0064624E"/>
    <w:rsid w:val="00646D32"/>
    <w:rsid w:val="00650AB9"/>
    <w:rsid w:val="006523E6"/>
    <w:rsid w:val="006535B7"/>
    <w:rsid w:val="00655733"/>
    <w:rsid w:val="00655ACD"/>
    <w:rsid w:val="00655B9E"/>
    <w:rsid w:val="00655E22"/>
    <w:rsid w:val="00655FE8"/>
    <w:rsid w:val="0065624C"/>
    <w:rsid w:val="00656A92"/>
    <w:rsid w:val="00656DDE"/>
    <w:rsid w:val="00657837"/>
    <w:rsid w:val="0066011D"/>
    <w:rsid w:val="006607C0"/>
    <w:rsid w:val="006613A6"/>
    <w:rsid w:val="006627A2"/>
    <w:rsid w:val="006634E6"/>
    <w:rsid w:val="006655EE"/>
    <w:rsid w:val="00665D7E"/>
    <w:rsid w:val="0066663A"/>
    <w:rsid w:val="00667EE7"/>
    <w:rsid w:val="0067008A"/>
    <w:rsid w:val="00670922"/>
    <w:rsid w:val="00670BE1"/>
    <w:rsid w:val="0067218F"/>
    <w:rsid w:val="00673086"/>
    <w:rsid w:val="0067391A"/>
    <w:rsid w:val="00673AEA"/>
    <w:rsid w:val="006741F2"/>
    <w:rsid w:val="00674CC3"/>
    <w:rsid w:val="00675C72"/>
    <w:rsid w:val="0067694E"/>
    <w:rsid w:val="00677011"/>
    <w:rsid w:val="006771F9"/>
    <w:rsid w:val="006776D7"/>
    <w:rsid w:val="00677A18"/>
    <w:rsid w:val="00681003"/>
    <w:rsid w:val="006817C9"/>
    <w:rsid w:val="00681B6D"/>
    <w:rsid w:val="00682C28"/>
    <w:rsid w:val="00683ECE"/>
    <w:rsid w:val="00684136"/>
    <w:rsid w:val="00685370"/>
    <w:rsid w:val="00686109"/>
    <w:rsid w:val="00686742"/>
    <w:rsid w:val="0069171F"/>
    <w:rsid w:val="00695FAB"/>
    <w:rsid w:val="00695FC2"/>
    <w:rsid w:val="00696949"/>
    <w:rsid w:val="00697052"/>
    <w:rsid w:val="006A00E3"/>
    <w:rsid w:val="006A0DF7"/>
    <w:rsid w:val="006A1B19"/>
    <w:rsid w:val="006A46FB"/>
    <w:rsid w:val="006A4DF3"/>
    <w:rsid w:val="006A5E28"/>
    <w:rsid w:val="006A697B"/>
    <w:rsid w:val="006A70F7"/>
    <w:rsid w:val="006A7AFF"/>
    <w:rsid w:val="006B1816"/>
    <w:rsid w:val="006B2099"/>
    <w:rsid w:val="006B2625"/>
    <w:rsid w:val="006B50CF"/>
    <w:rsid w:val="006B7089"/>
    <w:rsid w:val="006C03B8"/>
    <w:rsid w:val="006C0D73"/>
    <w:rsid w:val="006C0FB0"/>
    <w:rsid w:val="006C45DE"/>
    <w:rsid w:val="006C5EC9"/>
    <w:rsid w:val="006C6059"/>
    <w:rsid w:val="006C7522"/>
    <w:rsid w:val="006D1768"/>
    <w:rsid w:val="006D6F08"/>
    <w:rsid w:val="006E062C"/>
    <w:rsid w:val="006E1133"/>
    <w:rsid w:val="006E1C82"/>
    <w:rsid w:val="006E26B0"/>
    <w:rsid w:val="006E28B7"/>
    <w:rsid w:val="006E2A9B"/>
    <w:rsid w:val="006E3310"/>
    <w:rsid w:val="006E4E39"/>
    <w:rsid w:val="006E4E53"/>
    <w:rsid w:val="006E5555"/>
    <w:rsid w:val="006E565E"/>
    <w:rsid w:val="006E673D"/>
    <w:rsid w:val="006E7D3B"/>
    <w:rsid w:val="006F1B70"/>
    <w:rsid w:val="006F341D"/>
    <w:rsid w:val="006F38FD"/>
    <w:rsid w:val="006F39E1"/>
    <w:rsid w:val="006F3CDE"/>
    <w:rsid w:val="006F3E34"/>
    <w:rsid w:val="006F4194"/>
    <w:rsid w:val="006F4B6F"/>
    <w:rsid w:val="006F58D4"/>
    <w:rsid w:val="006F6582"/>
    <w:rsid w:val="0070346E"/>
    <w:rsid w:val="00704EDB"/>
    <w:rsid w:val="00705F57"/>
    <w:rsid w:val="00706101"/>
    <w:rsid w:val="00706265"/>
    <w:rsid w:val="007065B1"/>
    <w:rsid w:val="00707072"/>
    <w:rsid w:val="00707D61"/>
    <w:rsid w:val="00712287"/>
    <w:rsid w:val="00712772"/>
    <w:rsid w:val="007148D3"/>
    <w:rsid w:val="007155B1"/>
    <w:rsid w:val="00715B9A"/>
    <w:rsid w:val="00715FE4"/>
    <w:rsid w:val="00716297"/>
    <w:rsid w:val="00720B6F"/>
    <w:rsid w:val="0072183A"/>
    <w:rsid w:val="00722637"/>
    <w:rsid w:val="007257D0"/>
    <w:rsid w:val="00726DEA"/>
    <w:rsid w:val="00726EA6"/>
    <w:rsid w:val="00727208"/>
    <w:rsid w:val="00727680"/>
    <w:rsid w:val="00727721"/>
    <w:rsid w:val="0073001C"/>
    <w:rsid w:val="007348B1"/>
    <w:rsid w:val="007362A6"/>
    <w:rsid w:val="00736D7D"/>
    <w:rsid w:val="007400B0"/>
    <w:rsid w:val="00740E58"/>
    <w:rsid w:val="007445A0"/>
    <w:rsid w:val="0074524B"/>
    <w:rsid w:val="00747D8B"/>
    <w:rsid w:val="00747F95"/>
    <w:rsid w:val="007511A0"/>
    <w:rsid w:val="00751228"/>
    <w:rsid w:val="007525F8"/>
    <w:rsid w:val="00752EC1"/>
    <w:rsid w:val="00755195"/>
    <w:rsid w:val="00755289"/>
    <w:rsid w:val="007571E1"/>
    <w:rsid w:val="00757A16"/>
    <w:rsid w:val="007604B2"/>
    <w:rsid w:val="00765281"/>
    <w:rsid w:val="00766BAD"/>
    <w:rsid w:val="00767E82"/>
    <w:rsid w:val="007729A2"/>
    <w:rsid w:val="007755F2"/>
    <w:rsid w:val="00776013"/>
    <w:rsid w:val="00776971"/>
    <w:rsid w:val="00776989"/>
    <w:rsid w:val="00780A80"/>
    <w:rsid w:val="0078177E"/>
    <w:rsid w:val="0078304C"/>
    <w:rsid w:val="00783673"/>
    <w:rsid w:val="007845D2"/>
    <w:rsid w:val="00785285"/>
    <w:rsid w:val="00785490"/>
    <w:rsid w:val="00786385"/>
    <w:rsid w:val="00787ADB"/>
    <w:rsid w:val="0079055C"/>
    <w:rsid w:val="00791415"/>
    <w:rsid w:val="007925EA"/>
    <w:rsid w:val="00793CD8"/>
    <w:rsid w:val="00794F18"/>
    <w:rsid w:val="00795C92"/>
    <w:rsid w:val="00796231"/>
    <w:rsid w:val="007A1CB3"/>
    <w:rsid w:val="007A306F"/>
    <w:rsid w:val="007A43A6"/>
    <w:rsid w:val="007A58A6"/>
    <w:rsid w:val="007A68E3"/>
    <w:rsid w:val="007B04E5"/>
    <w:rsid w:val="007B3D2D"/>
    <w:rsid w:val="007B41D6"/>
    <w:rsid w:val="007B50AE"/>
    <w:rsid w:val="007B51DF"/>
    <w:rsid w:val="007B6993"/>
    <w:rsid w:val="007C05DD"/>
    <w:rsid w:val="007C3D18"/>
    <w:rsid w:val="007C44B5"/>
    <w:rsid w:val="007C5B42"/>
    <w:rsid w:val="007C60BF"/>
    <w:rsid w:val="007C6A07"/>
    <w:rsid w:val="007C6B0A"/>
    <w:rsid w:val="007C75A1"/>
    <w:rsid w:val="007C77A5"/>
    <w:rsid w:val="007D008A"/>
    <w:rsid w:val="007D04E5"/>
    <w:rsid w:val="007D3FE5"/>
    <w:rsid w:val="007D5901"/>
    <w:rsid w:val="007D7526"/>
    <w:rsid w:val="007E05F8"/>
    <w:rsid w:val="007E1825"/>
    <w:rsid w:val="007E3592"/>
    <w:rsid w:val="007E4610"/>
    <w:rsid w:val="007E4715"/>
    <w:rsid w:val="007E505B"/>
    <w:rsid w:val="007E7091"/>
    <w:rsid w:val="007F18D6"/>
    <w:rsid w:val="007F20CD"/>
    <w:rsid w:val="007F22F7"/>
    <w:rsid w:val="007F4082"/>
    <w:rsid w:val="007F4912"/>
    <w:rsid w:val="007F61E1"/>
    <w:rsid w:val="007F69F6"/>
    <w:rsid w:val="00803328"/>
    <w:rsid w:val="00803FAE"/>
    <w:rsid w:val="0080605F"/>
    <w:rsid w:val="00807786"/>
    <w:rsid w:val="0081033A"/>
    <w:rsid w:val="00811FCB"/>
    <w:rsid w:val="00813E56"/>
    <w:rsid w:val="008158D6"/>
    <w:rsid w:val="00817196"/>
    <w:rsid w:val="008235DB"/>
    <w:rsid w:val="00824AB4"/>
    <w:rsid w:val="00825B39"/>
    <w:rsid w:val="00825C42"/>
    <w:rsid w:val="00825D25"/>
    <w:rsid w:val="008274AD"/>
    <w:rsid w:val="00827D6F"/>
    <w:rsid w:val="00831C3C"/>
    <w:rsid w:val="00833A7C"/>
    <w:rsid w:val="008348DC"/>
    <w:rsid w:val="00834ED2"/>
    <w:rsid w:val="008362F2"/>
    <w:rsid w:val="00836392"/>
    <w:rsid w:val="008376AC"/>
    <w:rsid w:val="00841E92"/>
    <w:rsid w:val="00842492"/>
    <w:rsid w:val="00843240"/>
    <w:rsid w:val="008444E8"/>
    <w:rsid w:val="00844E80"/>
    <w:rsid w:val="008465FB"/>
    <w:rsid w:val="00846FE7"/>
    <w:rsid w:val="00853019"/>
    <w:rsid w:val="0085456C"/>
    <w:rsid w:val="00856911"/>
    <w:rsid w:val="00857132"/>
    <w:rsid w:val="00857C26"/>
    <w:rsid w:val="0086230E"/>
    <w:rsid w:val="00864B05"/>
    <w:rsid w:val="0086565E"/>
    <w:rsid w:val="0086639B"/>
    <w:rsid w:val="00866760"/>
    <w:rsid w:val="008677FD"/>
    <w:rsid w:val="00867CC7"/>
    <w:rsid w:val="008706D4"/>
    <w:rsid w:val="00870F8A"/>
    <w:rsid w:val="008719A4"/>
    <w:rsid w:val="00871D23"/>
    <w:rsid w:val="00874312"/>
    <w:rsid w:val="0087437C"/>
    <w:rsid w:val="00875CD7"/>
    <w:rsid w:val="00876B4D"/>
    <w:rsid w:val="00876BB8"/>
    <w:rsid w:val="00877F18"/>
    <w:rsid w:val="00883CA8"/>
    <w:rsid w:val="00885507"/>
    <w:rsid w:val="008941E3"/>
    <w:rsid w:val="00894A88"/>
    <w:rsid w:val="00895386"/>
    <w:rsid w:val="008976E8"/>
    <w:rsid w:val="008A001C"/>
    <w:rsid w:val="008A21FF"/>
    <w:rsid w:val="008A2CE2"/>
    <w:rsid w:val="008A30AC"/>
    <w:rsid w:val="008A44B8"/>
    <w:rsid w:val="008A51A8"/>
    <w:rsid w:val="008A54C7"/>
    <w:rsid w:val="008A74E4"/>
    <w:rsid w:val="008A77D8"/>
    <w:rsid w:val="008B0483"/>
    <w:rsid w:val="008B120C"/>
    <w:rsid w:val="008B3EA5"/>
    <w:rsid w:val="008B4074"/>
    <w:rsid w:val="008B465F"/>
    <w:rsid w:val="008B51A0"/>
    <w:rsid w:val="008B592A"/>
    <w:rsid w:val="008B7B5C"/>
    <w:rsid w:val="008C0C99"/>
    <w:rsid w:val="008C2017"/>
    <w:rsid w:val="008C4958"/>
    <w:rsid w:val="008C4BAA"/>
    <w:rsid w:val="008C5B40"/>
    <w:rsid w:val="008C6AE8"/>
    <w:rsid w:val="008C7573"/>
    <w:rsid w:val="008D00A5"/>
    <w:rsid w:val="008D3427"/>
    <w:rsid w:val="008D34F1"/>
    <w:rsid w:val="008D39D8"/>
    <w:rsid w:val="008D66CE"/>
    <w:rsid w:val="008D6D1A"/>
    <w:rsid w:val="008D7BD5"/>
    <w:rsid w:val="008E0351"/>
    <w:rsid w:val="008E065E"/>
    <w:rsid w:val="008E0927"/>
    <w:rsid w:val="008E1909"/>
    <w:rsid w:val="008E1EA7"/>
    <w:rsid w:val="008E3D0B"/>
    <w:rsid w:val="008E58ED"/>
    <w:rsid w:val="008E6592"/>
    <w:rsid w:val="008F1EAB"/>
    <w:rsid w:val="008F20D3"/>
    <w:rsid w:val="008F33DC"/>
    <w:rsid w:val="008F477F"/>
    <w:rsid w:val="008F50A4"/>
    <w:rsid w:val="008F743D"/>
    <w:rsid w:val="00902350"/>
    <w:rsid w:val="0090336B"/>
    <w:rsid w:val="009053AA"/>
    <w:rsid w:val="00906939"/>
    <w:rsid w:val="00906A6A"/>
    <w:rsid w:val="00910B7D"/>
    <w:rsid w:val="00910F64"/>
    <w:rsid w:val="00911DFB"/>
    <w:rsid w:val="009139D9"/>
    <w:rsid w:val="00914AD8"/>
    <w:rsid w:val="0091591F"/>
    <w:rsid w:val="00915DBB"/>
    <w:rsid w:val="00916079"/>
    <w:rsid w:val="00916F05"/>
    <w:rsid w:val="00917CE9"/>
    <w:rsid w:val="00920BF2"/>
    <w:rsid w:val="0092100E"/>
    <w:rsid w:val="00922010"/>
    <w:rsid w:val="00927AB4"/>
    <w:rsid w:val="009306D0"/>
    <w:rsid w:val="00931BD9"/>
    <w:rsid w:val="00934EBB"/>
    <w:rsid w:val="009353FB"/>
    <w:rsid w:val="00935E17"/>
    <w:rsid w:val="009368F3"/>
    <w:rsid w:val="00941636"/>
    <w:rsid w:val="00942DF6"/>
    <w:rsid w:val="00942F73"/>
    <w:rsid w:val="00943742"/>
    <w:rsid w:val="00943CFA"/>
    <w:rsid w:val="00945C05"/>
    <w:rsid w:val="00946945"/>
    <w:rsid w:val="00947713"/>
    <w:rsid w:val="0094775A"/>
    <w:rsid w:val="00950DE7"/>
    <w:rsid w:val="0095107B"/>
    <w:rsid w:val="00951CC0"/>
    <w:rsid w:val="00953920"/>
    <w:rsid w:val="00953D47"/>
    <w:rsid w:val="00953EDE"/>
    <w:rsid w:val="0095501E"/>
    <w:rsid w:val="0095681E"/>
    <w:rsid w:val="009572D4"/>
    <w:rsid w:val="009574E7"/>
    <w:rsid w:val="00961921"/>
    <w:rsid w:val="009626A3"/>
    <w:rsid w:val="0096430A"/>
    <w:rsid w:val="00964AF4"/>
    <w:rsid w:val="0096554B"/>
    <w:rsid w:val="0096584A"/>
    <w:rsid w:val="00967A08"/>
    <w:rsid w:val="00971F08"/>
    <w:rsid w:val="009744F3"/>
    <w:rsid w:val="009755F9"/>
    <w:rsid w:val="0097603D"/>
    <w:rsid w:val="00976949"/>
    <w:rsid w:val="00977F34"/>
    <w:rsid w:val="00980477"/>
    <w:rsid w:val="009833E2"/>
    <w:rsid w:val="00983D21"/>
    <w:rsid w:val="00984C13"/>
    <w:rsid w:val="00984C97"/>
    <w:rsid w:val="00985253"/>
    <w:rsid w:val="009853B3"/>
    <w:rsid w:val="00990630"/>
    <w:rsid w:val="00991761"/>
    <w:rsid w:val="0099424B"/>
    <w:rsid w:val="00994DCA"/>
    <w:rsid w:val="009950B1"/>
    <w:rsid w:val="009960EC"/>
    <w:rsid w:val="0099630E"/>
    <w:rsid w:val="009970DD"/>
    <w:rsid w:val="00997E99"/>
    <w:rsid w:val="009A0FBA"/>
    <w:rsid w:val="009A1601"/>
    <w:rsid w:val="009A3A7B"/>
    <w:rsid w:val="009A3BB6"/>
    <w:rsid w:val="009A462D"/>
    <w:rsid w:val="009A5CBA"/>
    <w:rsid w:val="009A6BFD"/>
    <w:rsid w:val="009B1F30"/>
    <w:rsid w:val="009B25D3"/>
    <w:rsid w:val="009B3AC2"/>
    <w:rsid w:val="009B428B"/>
    <w:rsid w:val="009B4DF4"/>
    <w:rsid w:val="009B4EB5"/>
    <w:rsid w:val="009B564E"/>
    <w:rsid w:val="009B7E87"/>
    <w:rsid w:val="009C0169"/>
    <w:rsid w:val="009C403E"/>
    <w:rsid w:val="009D22A4"/>
    <w:rsid w:val="009D3F2B"/>
    <w:rsid w:val="009D411F"/>
    <w:rsid w:val="009D45AA"/>
    <w:rsid w:val="009D4FF0"/>
    <w:rsid w:val="009D703C"/>
    <w:rsid w:val="009D718F"/>
    <w:rsid w:val="009E068F"/>
    <w:rsid w:val="009E14E0"/>
    <w:rsid w:val="009E16DB"/>
    <w:rsid w:val="009E35DB"/>
    <w:rsid w:val="009E3844"/>
    <w:rsid w:val="009E47A3"/>
    <w:rsid w:val="009E6544"/>
    <w:rsid w:val="009E6857"/>
    <w:rsid w:val="009F08F3"/>
    <w:rsid w:val="009F271B"/>
    <w:rsid w:val="009F344F"/>
    <w:rsid w:val="009F50EB"/>
    <w:rsid w:val="009F521D"/>
    <w:rsid w:val="00A012BE"/>
    <w:rsid w:val="00A0230B"/>
    <w:rsid w:val="00A02A36"/>
    <w:rsid w:val="00A031D8"/>
    <w:rsid w:val="00A048A8"/>
    <w:rsid w:val="00A04F49"/>
    <w:rsid w:val="00A10CE2"/>
    <w:rsid w:val="00A12AAA"/>
    <w:rsid w:val="00A13341"/>
    <w:rsid w:val="00A13E54"/>
    <w:rsid w:val="00A14865"/>
    <w:rsid w:val="00A16226"/>
    <w:rsid w:val="00A1765A"/>
    <w:rsid w:val="00A17F63"/>
    <w:rsid w:val="00A20444"/>
    <w:rsid w:val="00A2193B"/>
    <w:rsid w:val="00A2351A"/>
    <w:rsid w:val="00A23E93"/>
    <w:rsid w:val="00A252DC"/>
    <w:rsid w:val="00A25CBA"/>
    <w:rsid w:val="00A25DD2"/>
    <w:rsid w:val="00A264A9"/>
    <w:rsid w:val="00A264B8"/>
    <w:rsid w:val="00A26DCF"/>
    <w:rsid w:val="00A27785"/>
    <w:rsid w:val="00A30187"/>
    <w:rsid w:val="00A32913"/>
    <w:rsid w:val="00A3448A"/>
    <w:rsid w:val="00A36297"/>
    <w:rsid w:val="00A40696"/>
    <w:rsid w:val="00A41E2B"/>
    <w:rsid w:val="00A42D92"/>
    <w:rsid w:val="00A42DF1"/>
    <w:rsid w:val="00A457FB"/>
    <w:rsid w:val="00A45B74"/>
    <w:rsid w:val="00A50C1F"/>
    <w:rsid w:val="00A522F5"/>
    <w:rsid w:val="00A524A2"/>
    <w:rsid w:val="00A52E1D"/>
    <w:rsid w:val="00A55A4A"/>
    <w:rsid w:val="00A56A11"/>
    <w:rsid w:val="00A61499"/>
    <w:rsid w:val="00A62A77"/>
    <w:rsid w:val="00A63483"/>
    <w:rsid w:val="00A657D7"/>
    <w:rsid w:val="00A660AC"/>
    <w:rsid w:val="00A67E6C"/>
    <w:rsid w:val="00A71B99"/>
    <w:rsid w:val="00A732AF"/>
    <w:rsid w:val="00A739D0"/>
    <w:rsid w:val="00A761D4"/>
    <w:rsid w:val="00A77192"/>
    <w:rsid w:val="00A77EC4"/>
    <w:rsid w:val="00A8118A"/>
    <w:rsid w:val="00A82345"/>
    <w:rsid w:val="00A8235E"/>
    <w:rsid w:val="00A827A4"/>
    <w:rsid w:val="00A84ABE"/>
    <w:rsid w:val="00A86768"/>
    <w:rsid w:val="00A877F0"/>
    <w:rsid w:val="00A92117"/>
    <w:rsid w:val="00A923F1"/>
    <w:rsid w:val="00A92879"/>
    <w:rsid w:val="00A92FCF"/>
    <w:rsid w:val="00A93B7A"/>
    <w:rsid w:val="00A9442A"/>
    <w:rsid w:val="00A97536"/>
    <w:rsid w:val="00AA016F"/>
    <w:rsid w:val="00AA1ED6"/>
    <w:rsid w:val="00AA1EF1"/>
    <w:rsid w:val="00AA2B8B"/>
    <w:rsid w:val="00AA4948"/>
    <w:rsid w:val="00AA51D6"/>
    <w:rsid w:val="00AA5FA4"/>
    <w:rsid w:val="00AA6A8D"/>
    <w:rsid w:val="00AA7BAE"/>
    <w:rsid w:val="00AA7BED"/>
    <w:rsid w:val="00AB0BC8"/>
    <w:rsid w:val="00AB11CA"/>
    <w:rsid w:val="00AB14D9"/>
    <w:rsid w:val="00AB363C"/>
    <w:rsid w:val="00AB4AB8"/>
    <w:rsid w:val="00AB5B42"/>
    <w:rsid w:val="00AB655E"/>
    <w:rsid w:val="00AC007F"/>
    <w:rsid w:val="00AC2ECD"/>
    <w:rsid w:val="00AC3119"/>
    <w:rsid w:val="00AC49FB"/>
    <w:rsid w:val="00AC5A10"/>
    <w:rsid w:val="00AC6714"/>
    <w:rsid w:val="00AD0AA3"/>
    <w:rsid w:val="00AD3B89"/>
    <w:rsid w:val="00AD3F94"/>
    <w:rsid w:val="00AD4A5A"/>
    <w:rsid w:val="00AD6985"/>
    <w:rsid w:val="00AD6E67"/>
    <w:rsid w:val="00AD7E21"/>
    <w:rsid w:val="00AE0B42"/>
    <w:rsid w:val="00AE27AC"/>
    <w:rsid w:val="00AE32D5"/>
    <w:rsid w:val="00AE40E0"/>
    <w:rsid w:val="00AE4DBA"/>
    <w:rsid w:val="00AE4F07"/>
    <w:rsid w:val="00AF1C5D"/>
    <w:rsid w:val="00AF207F"/>
    <w:rsid w:val="00AF42D7"/>
    <w:rsid w:val="00B006FE"/>
    <w:rsid w:val="00B007CB"/>
    <w:rsid w:val="00B02AA9"/>
    <w:rsid w:val="00B02FA3"/>
    <w:rsid w:val="00B05084"/>
    <w:rsid w:val="00B0697A"/>
    <w:rsid w:val="00B07DF3"/>
    <w:rsid w:val="00B100D4"/>
    <w:rsid w:val="00B1039E"/>
    <w:rsid w:val="00B10C10"/>
    <w:rsid w:val="00B157F9"/>
    <w:rsid w:val="00B20256"/>
    <w:rsid w:val="00B20A66"/>
    <w:rsid w:val="00B20D09"/>
    <w:rsid w:val="00B227B5"/>
    <w:rsid w:val="00B23C50"/>
    <w:rsid w:val="00B24169"/>
    <w:rsid w:val="00B2586D"/>
    <w:rsid w:val="00B2763F"/>
    <w:rsid w:val="00B27AAC"/>
    <w:rsid w:val="00B30929"/>
    <w:rsid w:val="00B31669"/>
    <w:rsid w:val="00B32DA1"/>
    <w:rsid w:val="00B34870"/>
    <w:rsid w:val="00B34A7B"/>
    <w:rsid w:val="00B34E9F"/>
    <w:rsid w:val="00B372AA"/>
    <w:rsid w:val="00B40445"/>
    <w:rsid w:val="00B409E0"/>
    <w:rsid w:val="00B40D16"/>
    <w:rsid w:val="00B41888"/>
    <w:rsid w:val="00B438B6"/>
    <w:rsid w:val="00B45A52"/>
    <w:rsid w:val="00B46175"/>
    <w:rsid w:val="00B46ED5"/>
    <w:rsid w:val="00B542A4"/>
    <w:rsid w:val="00B548B7"/>
    <w:rsid w:val="00B56F35"/>
    <w:rsid w:val="00B60EA0"/>
    <w:rsid w:val="00B623F5"/>
    <w:rsid w:val="00B63EA9"/>
    <w:rsid w:val="00B64F83"/>
    <w:rsid w:val="00B651A5"/>
    <w:rsid w:val="00B66314"/>
    <w:rsid w:val="00B664C7"/>
    <w:rsid w:val="00B671AD"/>
    <w:rsid w:val="00B713B9"/>
    <w:rsid w:val="00B71AA2"/>
    <w:rsid w:val="00B739F6"/>
    <w:rsid w:val="00B73BAA"/>
    <w:rsid w:val="00B74453"/>
    <w:rsid w:val="00B75398"/>
    <w:rsid w:val="00B7606A"/>
    <w:rsid w:val="00B77CEF"/>
    <w:rsid w:val="00B81A6C"/>
    <w:rsid w:val="00B841FD"/>
    <w:rsid w:val="00B85854"/>
    <w:rsid w:val="00B85DE5"/>
    <w:rsid w:val="00B90F73"/>
    <w:rsid w:val="00B93B59"/>
    <w:rsid w:val="00B9406A"/>
    <w:rsid w:val="00B9704F"/>
    <w:rsid w:val="00BA056E"/>
    <w:rsid w:val="00BA0A57"/>
    <w:rsid w:val="00BA2280"/>
    <w:rsid w:val="00BA2A08"/>
    <w:rsid w:val="00BA3F20"/>
    <w:rsid w:val="00BA56D2"/>
    <w:rsid w:val="00BA76E0"/>
    <w:rsid w:val="00BB294E"/>
    <w:rsid w:val="00BB2A25"/>
    <w:rsid w:val="00BB4097"/>
    <w:rsid w:val="00BB51E9"/>
    <w:rsid w:val="00BB54D4"/>
    <w:rsid w:val="00BC045B"/>
    <w:rsid w:val="00BC0FDC"/>
    <w:rsid w:val="00BC3053"/>
    <w:rsid w:val="00BC4C49"/>
    <w:rsid w:val="00BC4D2E"/>
    <w:rsid w:val="00BC53AE"/>
    <w:rsid w:val="00BC5C74"/>
    <w:rsid w:val="00BC6BDB"/>
    <w:rsid w:val="00BD1C7F"/>
    <w:rsid w:val="00BD3226"/>
    <w:rsid w:val="00BD48AC"/>
    <w:rsid w:val="00BD5F1A"/>
    <w:rsid w:val="00BE1234"/>
    <w:rsid w:val="00BE2EB2"/>
    <w:rsid w:val="00BE2FA6"/>
    <w:rsid w:val="00BE333F"/>
    <w:rsid w:val="00BE5661"/>
    <w:rsid w:val="00BE7406"/>
    <w:rsid w:val="00BE7603"/>
    <w:rsid w:val="00BF0BF7"/>
    <w:rsid w:val="00BF3279"/>
    <w:rsid w:val="00BF6997"/>
    <w:rsid w:val="00BF6ACF"/>
    <w:rsid w:val="00BF74C7"/>
    <w:rsid w:val="00C015F1"/>
    <w:rsid w:val="00C01F33"/>
    <w:rsid w:val="00C02CC6"/>
    <w:rsid w:val="00C040F7"/>
    <w:rsid w:val="00C044AB"/>
    <w:rsid w:val="00C04644"/>
    <w:rsid w:val="00C05706"/>
    <w:rsid w:val="00C07377"/>
    <w:rsid w:val="00C10478"/>
    <w:rsid w:val="00C11026"/>
    <w:rsid w:val="00C11BB9"/>
    <w:rsid w:val="00C12107"/>
    <w:rsid w:val="00C14722"/>
    <w:rsid w:val="00C14AFA"/>
    <w:rsid w:val="00C14D4B"/>
    <w:rsid w:val="00C154BB"/>
    <w:rsid w:val="00C17C2B"/>
    <w:rsid w:val="00C215D9"/>
    <w:rsid w:val="00C245FD"/>
    <w:rsid w:val="00C2621D"/>
    <w:rsid w:val="00C268E6"/>
    <w:rsid w:val="00C26CB6"/>
    <w:rsid w:val="00C26E9B"/>
    <w:rsid w:val="00C27460"/>
    <w:rsid w:val="00C279B5"/>
    <w:rsid w:val="00C27C45"/>
    <w:rsid w:val="00C32CDD"/>
    <w:rsid w:val="00C3719D"/>
    <w:rsid w:val="00C37CB2"/>
    <w:rsid w:val="00C43727"/>
    <w:rsid w:val="00C473A5"/>
    <w:rsid w:val="00C539DA"/>
    <w:rsid w:val="00C54345"/>
    <w:rsid w:val="00C54995"/>
    <w:rsid w:val="00C54D41"/>
    <w:rsid w:val="00C60783"/>
    <w:rsid w:val="00C64672"/>
    <w:rsid w:val="00C653DA"/>
    <w:rsid w:val="00C65A49"/>
    <w:rsid w:val="00C66AF6"/>
    <w:rsid w:val="00C6709C"/>
    <w:rsid w:val="00C67196"/>
    <w:rsid w:val="00C67DEB"/>
    <w:rsid w:val="00C70697"/>
    <w:rsid w:val="00C72093"/>
    <w:rsid w:val="00C72EF4"/>
    <w:rsid w:val="00C7365A"/>
    <w:rsid w:val="00C73765"/>
    <w:rsid w:val="00C744FE"/>
    <w:rsid w:val="00C75D2F"/>
    <w:rsid w:val="00C767BE"/>
    <w:rsid w:val="00C76B2F"/>
    <w:rsid w:val="00C76E3C"/>
    <w:rsid w:val="00C81115"/>
    <w:rsid w:val="00C81568"/>
    <w:rsid w:val="00C825EC"/>
    <w:rsid w:val="00C82822"/>
    <w:rsid w:val="00C84EC4"/>
    <w:rsid w:val="00C867CA"/>
    <w:rsid w:val="00C9027A"/>
    <w:rsid w:val="00C9068E"/>
    <w:rsid w:val="00C9229B"/>
    <w:rsid w:val="00C92623"/>
    <w:rsid w:val="00C92FD3"/>
    <w:rsid w:val="00C93814"/>
    <w:rsid w:val="00C93C4B"/>
    <w:rsid w:val="00C94066"/>
    <w:rsid w:val="00C944AB"/>
    <w:rsid w:val="00C95B40"/>
    <w:rsid w:val="00C971E1"/>
    <w:rsid w:val="00CA0030"/>
    <w:rsid w:val="00CA0AD0"/>
    <w:rsid w:val="00CA1ED8"/>
    <w:rsid w:val="00CA2642"/>
    <w:rsid w:val="00CA2B23"/>
    <w:rsid w:val="00CA47D6"/>
    <w:rsid w:val="00CA59AA"/>
    <w:rsid w:val="00CA5D4C"/>
    <w:rsid w:val="00CA6EDA"/>
    <w:rsid w:val="00CA7971"/>
    <w:rsid w:val="00CB0DD8"/>
    <w:rsid w:val="00CB1F63"/>
    <w:rsid w:val="00CB3066"/>
    <w:rsid w:val="00CB44D7"/>
    <w:rsid w:val="00CB7170"/>
    <w:rsid w:val="00CC040E"/>
    <w:rsid w:val="00CC111F"/>
    <w:rsid w:val="00CC2011"/>
    <w:rsid w:val="00CC3EA0"/>
    <w:rsid w:val="00CC63D1"/>
    <w:rsid w:val="00CC7B45"/>
    <w:rsid w:val="00CD1188"/>
    <w:rsid w:val="00CD21F2"/>
    <w:rsid w:val="00CD2ED1"/>
    <w:rsid w:val="00CD337B"/>
    <w:rsid w:val="00CD4AA8"/>
    <w:rsid w:val="00CD5CCD"/>
    <w:rsid w:val="00CD5DAC"/>
    <w:rsid w:val="00CE0424"/>
    <w:rsid w:val="00CE580D"/>
    <w:rsid w:val="00CE7561"/>
    <w:rsid w:val="00CF1354"/>
    <w:rsid w:val="00CF3B1F"/>
    <w:rsid w:val="00CF3BF6"/>
    <w:rsid w:val="00CF625B"/>
    <w:rsid w:val="00CF687E"/>
    <w:rsid w:val="00D0094E"/>
    <w:rsid w:val="00D02819"/>
    <w:rsid w:val="00D0349B"/>
    <w:rsid w:val="00D0517E"/>
    <w:rsid w:val="00D06F55"/>
    <w:rsid w:val="00D10249"/>
    <w:rsid w:val="00D10474"/>
    <w:rsid w:val="00D10B2F"/>
    <w:rsid w:val="00D11117"/>
    <w:rsid w:val="00D115C3"/>
    <w:rsid w:val="00D11897"/>
    <w:rsid w:val="00D13135"/>
    <w:rsid w:val="00D13E4E"/>
    <w:rsid w:val="00D2121E"/>
    <w:rsid w:val="00D239A7"/>
    <w:rsid w:val="00D23F47"/>
    <w:rsid w:val="00D274B5"/>
    <w:rsid w:val="00D34684"/>
    <w:rsid w:val="00D36C3B"/>
    <w:rsid w:val="00D36E71"/>
    <w:rsid w:val="00D37D87"/>
    <w:rsid w:val="00D37E95"/>
    <w:rsid w:val="00D404B7"/>
    <w:rsid w:val="00D40B33"/>
    <w:rsid w:val="00D4318F"/>
    <w:rsid w:val="00D438BF"/>
    <w:rsid w:val="00D440F8"/>
    <w:rsid w:val="00D455E1"/>
    <w:rsid w:val="00D46830"/>
    <w:rsid w:val="00D469E2"/>
    <w:rsid w:val="00D5162B"/>
    <w:rsid w:val="00D546FF"/>
    <w:rsid w:val="00D55447"/>
    <w:rsid w:val="00D55AD5"/>
    <w:rsid w:val="00D576CA"/>
    <w:rsid w:val="00D61AF5"/>
    <w:rsid w:val="00D61EBF"/>
    <w:rsid w:val="00D63E85"/>
    <w:rsid w:val="00D652B5"/>
    <w:rsid w:val="00D66155"/>
    <w:rsid w:val="00D708B0"/>
    <w:rsid w:val="00D70B35"/>
    <w:rsid w:val="00D77B1D"/>
    <w:rsid w:val="00D8021F"/>
    <w:rsid w:val="00D80232"/>
    <w:rsid w:val="00D80383"/>
    <w:rsid w:val="00D81CD3"/>
    <w:rsid w:val="00D823C6"/>
    <w:rsid w:val="00D8327F"/>
    <w:rsid w:val="00D85081"/>
    <w:rsid w:val="00D86CA3"/>
    <w:rsid w:val="00D871CE"/>
    <w:rsid w:val="00D9196D"/>
    <w:rsid w:val="00D92982"/>
    <w:rsid w:val="00D94628"/>
    <w:rsid w:val="00DA305E"/>
    <w:rsid w:val="00DA5417"/>
    <w:rsid w:val="00DA56E8"/>
    <w:rsid w:val="00DB0519"/>
    <w:rsid w:val="00DB0A9F"/>
    <w:rsid w:val="00DB0CF4"/>
    <w:rsid w:val="00DB2845"/>
    <w:rsid w:val="00DB2D67"/>
    <w:rsid w:val="00DB377D"/>
    <w:rsid w:val="00DC2D36"/>
    <w:rsid w:val="00DC30CA"/>
    <w:rsid w:val="00DC3E48"/>
    <w:rsid w:val="00DC53EF"/>
    <w:rsid w:val="00DC5EAB"/>
    <w:rsid w:val="00DC6C70"/>
    <w:rsid w:val="00DC75AE"/>
    <w:rsid w:val="00DD3601"/>
    <w:rsid w:val="00DD3997"/>
    <w:rsid w:val="00DE2207"/>
    <w:rsid w:val="00DE27E3"/>
    <w:rsid w:val="00DE5608"/>
    <w:rsid w:val="00DE5796"/>
    <w:rsid w:val="00DE58D0"/>
    <w:rsid w:val="00DE654F"/>
    <w:rsid w:val="00DF0ADC"/>
    <w:rsid w:val="00DF0B6E"/>
    <w:rsid w:val="00DF15E0"/>
    <w:rsid w:val="00DF1A7B"/>
    <w:rsid w:val="00DF37A0"/>
    <w:rsid w:val="00E0535C"/>
    <w:rsid w:val="00E057B9"/>
    <w:rsid w:val="00E10E91"/>
    <w:rsid w:val="00E110E7"/>
    <w:rsid w:val="00E11B20"/>
    <w:rsid w:val="00E12534"/>
    <w:rsid w:val="00E136DE"/>
    <w:rsid w:val="00E17D78"/>
    <w:rsid w:val="00E17FA2"/>
    <w:rsid w:val="00E22330"/>
    <w:rsid w:val="00E26617"/>
    <w:rsid w:val="00E30B5A"/>
    <w:rsid w:val="00E3123D"/>
    <w:rsid w:val="00E31461"/>
    <w:rsid w:val="00E31D43"/>
    <w:rsid w:val="00E32608"/>
    <w:rsid w:val="00E32F54"/>
    <w:rsid w:val="00E34188"/>
    <w:rsid w:val="00E34285"/>
    <w:rsid w:val="00E34A10"/>
    <w:rsid w:val="00E34B6E"/>
    <w:rsid w:val="00E35559"/>
    <w:rsid w:val="00E3723A"/>
    <w:rsid w:val="00E37860"/>
    <w:rsid w:val="00E41953"/>
    <w:rsid w:val="00E446F1"/>
    <w:rsid w:val="00E46886"/>
    <w:rsid w:val="00E47816"/>
    <w:rsid w:val="00E47AEF"/>
    <w:rsid w:val="00E51147"/>
    <w:rsid w:val="00E518EB"/>
    <w:rsid w:val="00E521FB"/>
    <w:rsid w:val="00E5265F"/>
    <w:rsid w:val="00E53B75"/>
    <w:rsid w:val="00E54A49"/>
    <w:rsid w:val="00E54E3B"/>
    <w:rsid w:val="00E57565"/>
    <w:rsid w:val="00E618A3"/>
    <w:rsid w:val="00E63838"/>
    <w:rsid w:val="00E64434"/>
    <w:rsid w:val="00E67C51"/>
    <w:rsid w:val="00E712B2"/>
    <w:rsid w:val="00E71430"/>
    <w:rsid w:val="00E7202E"/>
    <w:rsid w:val="00E72EFC"/>
    <w:rsid w:val="00E734A6"/>
    <w:rsid w:val="00E736A5"/>
    <w:rsid w:val="00E73AF5"/>
    <w:rsid w:val="00E73D0E"/>
    <w:rsid w:val="00E758EC"/>
    <w:rsid w:val="00E812C5"/>
    <w:rsid w:val="00E819F5"/>
    <w:rsid w:val="00E81E61"/>
    <w:rsid w:val="00E8234C"/>
    <w:rsid w:val="00E83AA9"/>
    <w:rsid w:val="00E85928"/>
    <w:rsid w:val="00E87411"/>
    <w:rsid w:val="00E87822"/>
    <w:rsid w:val="00E90395"/>
    <w:rsid w:val="00E90E49"/>
    <w:rsid w:val="00E917F9"/>
    <w:rsid w:val="00E9291C"/>
    <w:rsid w:val="00E92E82"/>
    <w:rsid w:val="00E93FFE"/>
    <w:rsid w:val="00E94C89"/>
    <w:rsid w:val="00E94F8A"/>
    <w:rsid w:val="00E9734E"/>
    <w:rsid w:val="00EA1D36"/>
    <w:rsid w:val="00EA5F34"/>
    <w:rsid w:val="00EA7600"/>
    <w:rsid w:val="00EA7A41"/>
    <w:rsid w:val="00EB077B"/>
    <w:rsid w:val="00EB4EA2"/>
    <w:rsid w:val="00EC24D5"/>
    <w:rsid w:val="00EC2530"/>
    <w:rsid w:val="00EC27C6"/>
    <w:rsid w:val="00EC3695"/>
    <w:rsid w:val="00EC4207"/>
    <w:rsid w:val="00EC43E8"/>
    <w:rsid w:val="00EC5653"/>
    <w:rsid w:val="00EC71CE"/>
    <w:rsid w:val="00EC72AB"/>
    <w:rsid w:val="00ED0686"/>
    <w:rsid w:val="00ED1006"/>
    <w:rsid w:val="00ED53B7"/>
    <w:rsid w:val="00ED59A3"/>
    <w:rsid w:val="00ED637C"/>
    <w:rsid w:val="00EE0AC6"/>
    <w:rsid w:val="00EE3575"/>
    <w:rsid w:val="00EF18FE"/>
    <w:rsid w:val="00EF3569"/>
    <w:rsid w:val="00EF4484"/>
    <w:rsid w:val="00EF5787"/>
    <w:rsid w:val="00EF60D0"/>
    <w:rsid w:val="00EF7C34"/>
    <w:rsid w:val="00F02290"/>
    <w:rsid w:val="00F02685"/>
    <w:rsid w:val="00F0528D"/>
    <w:rsid w:val="00F05C0C"/>
    <w:rsid w:val="00F06C67"/>
    <w:rsid w:val="00F06DFD"/>
    <w:rsid w:val="00F071D1"/>
    <w:rsid w:val="00F07533"/>
    <w:rsid w:val="00F0778D"/>
    <w:rsid w:val="00F1047C"/>
    <w:rsid w:val="00F10629"/>
    <w:rsid w:val="00F13136"/>
    <w:rsid w:val="00F146A1"/>
    <w:rsid w:val="00F1481A"/>
    <w:rsid w:val="00F14B39"/>
    <w:rsid w:val="00F15037"/>
    <w:rsid w:val="00F15FA5"/>
    <w:rsid w:val="00F16F65"/>
    <w:rsid w:val="00F17973"/>
    <w:rsid w:val="00F209B7"/>
    <w:rsid w:val="00F20A42"/>
    <w:rsid w:val="00F20F5C"/>
    <w:rsid w:val="00F2376F"/>
    <w:rsid w:val="00F243D8"/>
    <w:rsid w:val="00F27884"/>
    <w:rsid w:val="00F30828"/>
    <w:rsid w:val="00F310E2"/>
    <w:rsid w:val="00F313D6"/>
    <w:rsid w:val="00F336BA"/>
    <w:rsid w:val="00F33BAB"/>
    <w:rsid w:val="00F34B6E"/>
    <w:rsid w:val="00F40F0C"/>
    <w:rsid w:val="00F42A13"/>
    <w:rsid w:val="00F46CC3"/>
    <w:rsid w:val="00F4747B"/>
    <w:rsid w:val="00F4766C"/>
    <w:rsid w:val="00F5060E"/>
    <w:rsid w:val="00F507D1"/>
    <w:rsid w:val="00F519CE"/>
    <w:rsid w:val="00F51ADA"/>
    <w:rsid w:val="00F51F75"/>
    <w:rsid w:val="00F56EE0"/>
    <w:rsid w:val="00F60203"/>
    <w:rsid w:val="00F607C5"/>
    <w:rsid w:val="00F60880"/>
    <w:rsid w:val="00F60DEA"/>
    <w:rsid w:val="00F62EA9"/>
    <w:rsid w:val="00F6302A"/>
    <w:rsid w:val="00F63950"/>
    <w:rsid w:val="00F64C2B"/>
    <w:rsid w:val="00F651BE"/>
    <w:rsid w:val="00F67F53"/>
    <w:rsid w:val="00F703BE"/>
    <w:rsid w:val="00F70BCA"/>
    <w:rsid w:val="00F71C11"/>
    <w:rsid w:val="00F71F69"/>
    <w:rsid w:val="00F72B72"/>
    <w:rsid w:val="00F7403F"/>
    <w:rsid w:val="00F74055"/>
    <w:rsid w:val="00F74898"/>
    <w:rsid w:val="00F74BB9"/>
    <w:rsid w:val="00F75582"/>
    <w:rsid w:val="00F769FA"/>
    <w:rsid w:val="00F76EFA"/>
    <w:rsid w:val="00F804BE"/>
    <w:rsid w:val="00F817CE"/>
    <w:rsid w:val="00F838C8"/>
    <w:rsid w:val="00F8456C"/>
    <w:rsid w:val="00F859D8"/>
    <w:rsid w:val="00F862B4"/>
    <w:rsid w:val="00F868F5"/>
    <w:rsid w:val="00F86CA6"/>
    <w:rsid w:val="00F870F0"/>
    <w:rsid w:val="00F9056A"/>
    <w:rsid w:val="00F90F8D"/>
    <w:rsid w:val="00F91DA1"/>
    <w:rsid w:val="00F92782"/>
    <w:rsid w:val="00F93AA9"/>
    <w:rsid w:val="00F96985"/>
    <w:rsid w:val="00F97838"/>
    <w:rsid w:val="00FA04EF"/>
    <w:rsid w:val="00FA0D17"/>
    <w:rsid w:val="00FA2BB3"/>
    <w:rsid w:val="00FB16C8"/>
    <w:rsid w:val="00FB236A"/>
    <w:rsid w:val="00FB4C80"/>
    <w:rsid w:val="00FB673F"/>
    <w:rsid w:val="00FB6A6A"/>
    <w:rsid w:val="00FB78E5"/>
    <w:rsid w:val="00FB7BA8"/>
    <w:rsid w:val="00FB7BDA"/>
    <w:rsid w:val="00FC59BF"/>
    <w:rsid w:val="00FC7429"/>
    <w:rsid w:val="00FC7927"/>
    <w:rsid w:val="00FC7ADD"/>
    <w:rsid w:val="00FD07F6"/>
    <w:rsid w:val="00FD1974"/>
    <w:rsid w:val="00FD1EC8"/>
    <w:rsid w:val="00FD25D7"/>
    <w:rsid w:val="00FD2BCD"/>
    <w:rsid w:val="00FD47ED"/>
    <w:rsid w:val="00FD74DB"/>
    <w:rsid w:val="00FD7660"/>
    <w:rsid w:val="00FD7DA7"/>
    <w:rsid w:val="00FE0655"/>
    <w:rsid w:val="00FE2365"/>
    <w:rsid w:val="00FE3776"/>
    <w:rsid w:val="00FE37D7"/>
    <w:rsid w:val="00FE4BB6"/>
    <w:rsid w:val="00FE4C7B"/>
    <w:rsid w:val="00FE7336"/>
    <w:rsid w:val="00FE787C"/>
    <w:rsid w:val="00FE7A54"/>
    <w:rsid w:val="00FF45A5"/>
    <w:rsid w:val="00FF5247"/>
    <w:rsid w:val="00FF5C91"/>
    <w:rsid w:val="290066F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29FCB0"/>
  <w15:chartTrackingRefBased/>
  <w15:docId w15:val="{3DAB70AE-2F96-4AE3-B6AD-BA95D3B89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R4_bullets,列表段落,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table" w:customStyle="1" w:styleId="TableGrid1">
    <w:name w:val="Table Grid1"/>
    <w:basedOn w:val="TableNormal"/>
    <w:next w:val="TableGrid"/>
    <w:uiPriority w:val="39"/>
    <w:rsid w:val="00E10E91"/>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D1C5A"/>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A7BED"/>
    <w:pPr>
      <w:autoSpaceDE w:val="0"/>
      <w:autoSpaceDN w:val="0"/>
      <w:adjustRightInd w:val="0"/>
    </w:pPr>
    <w:rPr>
      <w:rFonts w:ascii="Arial" w:hAnsi="Arial" w:cs="Arial"/>
      <w:color w:val="000000"/>
      <w:sz w:val="24"/>
      <w:szCs w:val="24"/>
    </w:rPr>
  </w:style>
  <w:style w:type="table" w:styleId="GridTable2-Accent1">
    <w:name w:val="Grid Table 2 Accent 1"/>
    <w:basedOn w:val="TableNormal"/>
    <w:uiPriority w:val="47"/>
    <w:rsid w:val="004E7DF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Mention">
    <w:name w:val="Mention"/>
    <w:basedOn w:val="DefaultParagraphFont"/>
    <w:uiPriority w:val="99"/>
    <w:unhideWhenUsed/>
    <w:rsid w:val="008B3EA5"/>
    <w:rPr>
      <w:color w:val="2B579A"/>
      <w:shd w:val="clear" w:color="auto" w:fill="E1DFDD"/>
    </w:rPr>
  </w:style>
  <w:style w:type="paragraph" w:styleId="Revision">
    <w:name w:val="Revision"/>
    <w:hidden/>
    <w:uiPriority w:val="99"/>
    <w:semiHidden/>
    <w:rsid w:val="008B3EA5"/>
    <w:rPr>
      <w:rFonts w:ascii="Times New Roman" w:hAnsi="Times New Roman"/>
      <w:lang w:eastAsia="ja-JP"/>
    </w:rPr>
  </w:style>
  <w:style w:type="character" w:customStyle="1" w:styleId="apple-converted-space">
    <w:name w:val="apple-converted-space"/>
    <w:qFormat/>
    <w:rsid w:val="00CA0AD0"/>
  </w:style>
  <w:style w:type="paragraph" w:styleId="NormalWeb">
    <w:name w:val="Normal (Web)"/>
    <w:basedOn w:val="Normal"/>
    <w:uiPriority w:val="99"/>
    <w:unhideWhenUsed/>
    <w:qFormat/>
    <w:rsid w:val="00CA0AD0"/>
    <w:pPr>
      <w:overflowPunct/>
      <w:autoSpaceDE/>
      <w:autoSpaceDN/>
      <w:adjustRightInd/>
      <w:spacing w:before="100" w:beforeAutospacing="1" w:after="100" w:afterAutospacing="1"/>
      <w:textAlignment w:val="auto"/>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0345926">
      <w:bodyDiv w:val="1"/>
      <w:marLeft w:val="0"/>
      <w:marRight w:val="0"/>
      <w:marTop w:val="0"/>
      <w:marBottom w:val="0"/>
      <w:divBdr>
        <w:top w:val="none" w:sz="0" w:space="0" w:color="auto"/>
        <w:left w:val="none" w:sz="0" w:space="0" w:color="auto"/>
        <w:bottom w:val="none" w:sz="0" w:space="0" w:color="auto"/>
        <w:right w:val="none" w:sz="0" w:space="0" w:color="auto"/>
      </w:divBdr>
    </w:div>
    <w:div w:id="378436784">
      <w:bodyDiv w:val="1"/>
      <w:marLeft w:val="0"/>
      <w:marRight w:val="0"/>
      <w:marTop w:val="0"/>
      <w:marBottom w:val="0"/>
      <w:divBdr>
        <w:top w:val="none" w:sz="0" w:space="0" w:color="auto"/>
        <w:left w:val="none" w:sz="0" w:space="0" w:color="auto"/>
        <w:bottom w:val="none" w:sz="0" w:space="0" w:color="auto"/>
        <w:right w:val="none" w:sz="0" w:space="0" w:color="auto"/>
      </w:divBdr>
    </w:div>
    <w:div w:id="721054965">
      <w:bodyDiv w:val="1"/>
      <w:marLeft w:val="0"/>
      <w:marRight w:val="0"/>
      <w:marTop w:val="0"/>
      <w:marBottom w:val="0"/>
      <w:divBdr>
        <w:top w:val="none" w:sz="0" w:space="0" w:color="auto"/>
        <w:left w:val="none" w:sz="0" w:space="0" w:color="auto"/>
        <w:bottom w:val="none" w:sz="0" w:space="0" w:color="auto"/>
        <w:right w:val="none" w:sz="0" w:space="0" w:color="auto"/>
      </w:divBdr>
    </w:div>
    <w:div w:id="171495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Ericsson\SWEA%20-%20Dokument\SWEA%20RAN%20Groups\RAN2\RAN2%20meetings\RAN2_114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4.xml><?xml version="1.0" encoding="utf-8"?>
<ds:datastoreItem xmlns:ds="http://schemas.openxmlformats.org/officeDocument/2006/customXml" ds:itemID="{8BD7B489-537A-44C9-9A9D-6280B391C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1050</TotalTime>
  <Pages>11</Pages>
  <Words>4518</Words>
  <Characters>25756</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30214</CharactersWithSpaces>
  <SharedDoc>false</SharedDoc>
  <HyperlinkBase/>
  <HLinks>
    <vt:vector size="150" baseType="variant">
      <vt:variant>
        <vt:i4>7077982</vt:i4>
      </vt:variant>
      <vt:variant>
        <vt:i4>132</vt:i4>
      </vt:variant>
      <vt:variant>
        <vt:i4>0</vt:i4>
      </vt:variant>
      <vt:variant>
        <vt:i4>5</vt:i4>
      </vt:variant>
      <vt:variant>
        <vt:lpwstr>https://www.3gpp.org/ftp/TSG_RAN/TSG_RAN/TSGR_92e/Docs/RP-211347.zip</vt:lpwstr>
      </vt:variant>
      <vt:variant>
        <vt:lpwstr/>
      </vt:variant>
      <vt:variant>
        <vt:i4>6946899</vt:i4>
      </vt:variant>
      <vt:variant>
        <vt:i4>129</vt:i4>
      </vt:variant>
      <vt:variant>
        <vt:i4>0</vt:i4>
      </vt:variant>
      <vt:variant>
        <vt:i4>5</vt:i4>
      </vt:variant>
      <vt:variant>
        <vt:lpwstr>https://www.3gpp.org/ftp/TSG_RAN/TSG_RAN/TSGR_92e/Docs/RP-211290.zip</vt:lpwstr>
      </vt:variant>
      <vt:variant>
        <vt:lpwstr/>
      </vt:variant>
      <vt:variant>
        <vt:i4>6684766</vt:i4>
      </vt:variant>
      <vt:variant>
        <vt:i4>126</vt:i4>
      </vt:variant>
      <vt:variant>
        <vt:i4>0</vt:i4>
      </vt:variant>
      <vt:variant>
        <vt:i4>5</vt:i4>
      </vt:variant>
      <vt:variant>
        <vt:lpwstr>https://www.3gpp.org/ftp/tsg_ran/TSG_RAN/TSGR_91e/Docs/RP-210855.zip</vt:lpwstr>
      </vt:variant>
      <vt:variant>
        <vt:lpwstr/>
      </vt:variant>
      <vt:variant>
        <vt:i4>6488156</vt:i4>
      </vt:variant>
      <vt:variant>
        <vt:i4>123</vt:i4>
      </vt:variant>
      <vt:variant>
        <vt:i4>0</vt:i4>
      </vt:variant>
      <vt:variant>
        <vt:i4>5</vt:i4>
      </vt:variant>
      <vt:variant>
        <vt:lpwstr>https://www.3gpp.org/ftp/tsg_ran/TSG_RAN/TSGR_91e/Docs/RP-210870.zip</vt:lpwstr>
      </vt:variant>
      <vt:variant>
        <vt:lpwstr/>
      </vt:variant>
      <vt:variant>
        <vt:i4>6946906</vt:i4>
      </vt:variant>
      <vt:variant>
        <vt:i4>120</vt:i4>
      </vt:variant>
      <vt:variant>
        <vt:i4>0</vt:i4>
      </vt:variant>
      <vt:variant>
        <vt:i4>5</vt:i4>
      </vt:variant>
      <vt:variant>
        <vt:lpwstr>https://www.3gpp.org/ftp/tsg_ran/TSG_RAN/TSGR_91e/Docs/RP-210918.zip</vt:lpwstr>
      </vt:variant>
      <vt:variant>
        <vt:lpwstr/>
      </vt:variant>
      <vt:variant>
        <vt:i4>1572925</vt:i4>
      </vt:variant>
      <vt:variant>
        <vt:i4>116</vt:i4>
      </vt:variant>
      <vt:variant>
        <vt:i4>0</vt:i4>
      </vt:variant>
      <vt:variant>
        <vt:i4>5</vt:i4>
      </vt:variant>
      <vt:variant>
        <vt:lpwstr/>
      </vt:variant>
      <vt:variant>
        <vt:lpwstr>_Toc78980837</vt:lpwstr>
      </vt:variant>
      <vt:variant>
        <vt:i4>1638461</vt:i4>
      </vt:variant>
      <vt:variant>
        <vt:i4>113</vt:i4>
      </vt:variant>
      <vt:variant>
        <vt:i4>0</vt:i4>
      </vt:variant>
      <vt:variant>
        <vt:i4>5</vt:i4>
      </vt:variant>
      <vt:variant>
        <vt:lpwstr/>
      </vt:variant>
      <vt:variant>
        <vt:lpwstr>_Toc78980836</vt:lpwstr>
      </vt:variant>
      <vt:variant>
        <vt:i4>1703997</vt:i4>
      </vt:variant>
      <vt:variant>
        <vt:i4>110</vt:i4>
      </vt:variant>
      <vt:variant>
        <vt:i4>0</vt:i4>
      </vt:variant>
      <vt:variant>
        <vt:i4>5</vt:i4>
      </vt:variant>
      <vt:variant>
        <vt:lpwstr/>
      </vt:variant>
      <vt:variant>
        <vt:lpwstr>_Toc78980835</vt:lpwstr>
      </vt:variant>
      <vt:variant>
        <vt:i4>1769533</vt:i4>
      </vt:variant>
      <vt:variant>
        <vt:i4>107</vt:i4>
      </vt:variant>
      <vt:variant>
        <vt:i4>0</vt:i4>
      </vt:variant>
      <vt:variant>
        <vt:i4>5</vt:i4>
      </vt:variant>
      <vt:variant>
        <vt:lpwstr/>
      </vt:variant>
      <vt:variant>
        <vt:lpwstr>_Toc78980834</vt:lpwstr>
      </vt:variant>
      <vt:variant>
        <vt:i4>1835069</vt:i4>
      </vt:variant>
      <vt:variant>
        <vt:i4>104</vt:i4>
      </vt:variant>
      <vt:variant>
        <vt:i4>0</vt:i4>
      </vt:variant>
      <vt:variant>
        <vt:i4>5</vt:i4>
      </vt:variant>
      <vt:variant>
        <vt:lpwstr/>
      </vt:variant>
      <vt:variant>
        <vt:lpwstr>_Toc78980833</vt:lpwstr>
      </vt:variant>
      <vt:variant>
        <vt:i4>1900605</vt:i4>
      </vt:variant>
      <vt:variant>
        <vt:i4>101</vt:i4>
      </vt:variant>
      <vt:variant>
        <vt:i4>0</vt:i4>
      </vt:variant>
      <vt:variant>
        <vt:i4>5</vt:i4>
      </vt:variant>
      <vt:variant>
        <vt:lpwstr/>
      </vt:variant>
      <vt:variant>
        <vt:lpwstr>_Toc78980832</vt:lpwstr>
      </vt:variant>
      <vt:variant>
        <vt:i4>1966141</vt:i4>
      </vt:variant>
      <vt:variant>
        <vt:i4>98</vt:i4>
      </vt:variant>
      <vt:variant>
        <vt:i4>0</vt:i4>
      </vt:variant>
      <vt:variant>
        <vt:i4>5</vt:i4>
      </vt:variant>
      <vt:variant>
        <vt:lpwstr/>
      </vt:variant>
      <vt:variant>
        <vt:lpwstr>_Toc78980831</vt:lpwstr>
      </vt:variant>
      <vt:variant>
        <vt:i4>2031677</vt:i4>
      </vt:variant>
      <vt:variant>
        <vt:i4>95</vt:i4>
      </vt:variant>
      <vt:variant>
        <vt:i4>0</vt:i4>
      </vt:variant>
      <vt:variant>
        <vt:i4>5</vt:i4>
      </vt:variant>
      <vt:variant>
        <vt:lpwstr/>
      </vt:variant>
      <vt:variant>
        <vt:lpwstr>_Toc78980830</vt:lpwstr>
      </vt:variant>
      <vt:variant>
        <vt:i4>1441852</vt:i4>
      </vt:variant>
      <vt:variant>
        <vt:i4>89</vt:i4>
      </vt:variant>
      <vt:variant>
        <vt:i4>0</vt:i4>
      </vt:variant>
      <vt:variant>
        <vt:i4>5</vt:i4>
      </vt:variant>
      <vt:variant>
        <vt:lpwstr/>
      </vt:variant>
      <vt:variant>
        <vt:lpwstr>_Toc78980829</vt:lpwstr>
      </vt:variant>
      <vt:variant>
        <vt:i4>1507388</vt:i4>
      </vt:variant>
      <vt:variant>
        <vt:i4>86</vt:i4>
      </vt:variant>
      <vt:variant>
        <vt:i4>0</vt:i4>
      </vt:variant>
      <vt:variant>
        <vt:i4>5</vt:i4>
      </vt:variant>
      <vt:variant>
        <vt:lpwstr/>
      </vt:variant>
      <vt:variant>
        <vt:lpwstr>_Toc78980828</vt:lpwstr>
      </vt:variant>
      <vt:variant>
        <vt:i4>1572924</vt:i4>
      </vt:variant>
      <vt:variant>
        <vt:i4>83</vt:i4>
      </vt:variant>
      <vt:variant>
        <vt:i4>0</vt:i4>
      </vt:variant>
      <vt:variant>
        <vt:i4>5</vt:i4>
      </vt:variant>
      <vt:variant>
        <vt:lpwstr/>
      </vt:variant>
      <vt:variant>
        <vt:lpwstr>_Toc78980827</vt:lpwstr>
      </vt:variant>
      <vt:variant>
        <vt:i4>1638460</vt:i4>
      </vt:variant>
      <vt:variant>
        <vt:i4>80</vt:i4>
      </vt:variant>
      <vt:variant>
        <vt:i4>0</vt:i4>
      </vt:variant>
      <vt:variant>
        <vt:i4>5</vt:i4>
      </vt:variant>
      <vt:variant>
        <vt:lpwstr/>
      </vt:variant>
      <vt:variant>
        <vt:lpwstr>_Toc78980826</vt:lpwstr>
      </vt:variant>
      <vt:variant>
        <vt:i4>1703996</vt:i4>
      </vt:variant>
      <vt:variant>
        <vt:i4>77</vt:i4>
      </vt:variant>
      <vt:variant>
        <vt:i4>0</vt:i4>
      </vt:variant>
      <vt:variant>
        <vt:i4>5</vt:i4>
      </vt:variant>
      <vt:variant>
        <vt:lpwstr/>
      </vt:variant>
      <vt:variant>
        <vt:lpwstr>_Toc78980825</vt:lpwstr>
      </vt:variant>
      <vt:variant>
        <vt:i4>1769532</vt:i4>
      </vt:variant>
      <vt:variant>
        <vt:i4>74</vt:i4>
      </vt:variant>
      <vt:variant>
        <vt:i4>0</vt:i4>
      </vt:variant>
      <vt:variant>
        <vt:i4>5</vt:i4>
      </vt:variant>
      <vt:variant>
        <vt:lpwstr/>
      </vt:variant>
      <vt:variant>
        <vt:lpwstr>_Toc78980824</vt:lpwstr>
      </vt:variant>
      <vt:variant>
        <vt:i4>1835068</vt:i4>
      </vt:variant>
      <vt:variant>
        <vt:i4>71</vt:i4>
      </vt:variant>
      <vt:variant>
        <vt:i4>0</vt:i4>
      </vt:variant>
      <vt:variant>
        <vt:i4>5</vt:i4>
      </vt:variant>
      <vt:variant>
        <vt:lpwstr/>
      </vt:variant>
      <vt:variant>
        <vt:lpwstr>_Toc78980823</vt:lpwstr>
      </vt:variant>
      <vt:variant>
        <vt:i4>1900604</vt:i4>
      </vt:variant>
      <vt:variant>
        <vt:i4>68</vt:i4>
      </vt:variant>
      <vt:variant>
        <vt:i4>0</vt:i4>
      </vt:variant>
      <vt:variant>
        <vt:i4>5</vt:i4>
      </vt:variant>
      <vt:variant>
        <vt:lpwstr/>
      </vt:variant>
      <vt:variant>
        <vt:lpwstr>_Toc78980822</vt:lpwstr>
      </vt:variant>
      <vt:variant>
        <vt:i4>1966140</vt:i4>
      </vt:variant>
      <vt:variant>
        <vt:i4>65</vt:i4>
      </vt:variant>
      <vt:variant>
        <vt:i4>0</vt:i4>
      </vt:variant>
      <vt:variant>
        <vt:i4>5</vt:i4>
      </vt:variant>
      <vt:variant>
        <vt:lpwstr/>
      </vt:variant>
      <vt:variant>
        <vt:lpwstr>_Toc78980821</vt:lpwstr>
      </vt:variant>
      <vt:variant>
        <vt:i4>2031676</vt:i4>
      </vt:variant>
      <vt:variant>
        <vt:i4>62</vt:i4>
      </vt:variant>
      <vt:variant>
        <vt:i4>0</vt:i4>
      </vt:variant>
      <vt:variant>
        <vt:i4>5</vt:i4>
      </vt:variant>
      <vt:variant>
        <vt:lpwstr/>
      </vt:variant>
      <vt:variant>
        <vt:lpwstr>_Toc78980820</vt:lpwstr>
      </vt:variant>
      <vt:variant>
        <vt:i4>1441855</vt:i4>
      </vt:variant>
      <vt:variant>
        <vt:i4>59</vt:i4>
      </vt:variant>
      <vt:variant>
        <vt:i4>0</vt:i4>
      </vt:variant>
      <vt:variant>
        <vt:i4>5</vt:i4>
      </vt:variant>
      <vt:variant>
        <vt:lpwstr/>
      </vt:variant>
      <vt:variant>
        <vt:lpwstr>_Toc78980819</vt:lpwstr>
      </vt:variant>
      <vt:variant>
        <vt:i4>1507391</vt:i4>
      </vt:variant>
      <vt:variant>
        <vt:i4>56</vt:i4>
      </vt:variant>
      <vt:variant>
        <vt:i4>0</vt:i4>
      </vt:variant>
      <vt:variant>
        <vt:i4>5</vt:i4>
      </vt:variant>
      <vt:variant>
        <vt:lpwstr/>
      </vt:variant>
      <vt:variant>
        <vt:lpwstr>_Toc78980818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Oscar Ohlsson</dc:creator>
  <cp:keywords>3GPP; Ericsson; TDoc</cp:keywords>
  <dc:description/>
  <cp:lastModifiedBy>Ericsson</cp:lastModifiedBy>
  <cp:revision>218</cp:revision>
  <cp:lastPrinted>2008-02-01T01:09:00Z</cp:lastPrinted>
  <dcterms:created xsi:type="dcterms:W3CDTF">2021-06-29T12:40:00Z</dcterms:created>
  <dcterms:modified xsi:type="dcterms:W3CDTF">2021-08-05T15:20:00Z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